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Default="00E77CB3" w:rsidP="00E77CB3">
      <w:pPr>
        <w:jc w:val="center"/>
        <w:rPr>
          <w:lang w:val="fr-FR"/>
        </w:rPr>
      </w:pPr>
      <w:bookmarkStart w:id="0" w:name="_GoBack"/>
      <w:bookmarkEnd w:id="0"/>
    </w:p>
    <w:p w:rsidR="00E40263" w:rsidRDefault="00E40263" w:rsidP="00E77CB3">
      <w:pPr>
        <w:jc w:val="center"/>
        <w:rPr>
          <w:lang w:val="fr-FR"/>
        </w:rPr>
      </w:pPr>
    </w:p>
    <w:p w:rsidR="00E40263" w:rsidRPr="00DD4AAB" w:rsidRDefault="00E40263" w:rsidP="00E77CB3">
      <w:pPr>
        <w:jc w:val="center"/>
        <w:rPr>
          <w:lang w:val="fr-FR"/>
        </w:rPr>
      </w:pPr>
    </w:p>
    <w:p w:rsidR="00E77CB3" w:rsidRPr="00DD4AAB" w:rsidRDefault="00BA117C" w:rsidP="00E77CB3">
      <w:pPr>
        <w:jc w:val="center"/>
        <w:rPr>
          <w:lang w:val="fr-FR"/>
        </w:rPr>
      </w:pPr>
      <w:r>
        <w:rPr>
          <w:lang w:val="fr-FR"/>
        </w:rPr>
        <w:t>QUATRIÈME SECTION</w:t>
      </w:r>
    </w:p>
    <w:p w:rsidR="00E77CB3" w:rsidRDefault="00E77CB3" w:rsidP="00E77CB3">
      <w:pPr>
        <w:jc w:val="center"/>
        <w:rPr>
          <w:lang w:val="fr-FR"/>
        </w:rPr>
      </w:pPr>
    </w:p>
    <w:p w:rsidR="00E40263" w:rsidRDefault="00E40263" w:rsidP="00E77CB3">
      <w:pPr>
        <w:jc w:val="center"/>
        <w:rPr>
          <w:lang w:val="fr-FR"/>
        </w:rPr>
      </w:pPr>
    </w:p>
    <w:p w:rsidR="00E40263" w:rsidRDefault="00E40263" w:rsidP="00E77CB3">
      <w:pPr>
        <w:jc w:val="center"/>
        <w:rPr>
          <w:lang w:val="fr-FR"/>
        </w:rPr>
      </w:pPr>
    </w:p>
    <w:p w:rsidR="00E40263" w:rsidRDefault="00E40263" w:rsidP="00E77CB3">
      <w:pPr>
        <w:jc w:val="center"/>
        <w:rPr>
          <w:lang w:val="fr-FR"/>
        </w:rPr>
      </w:pPr>
    </w:p>
    <w:p w:rsidR="00117E94" w:rsidRDefault="00117E94" w:rsidP="00E77CB3">
      <w:pPr>
        <w:jc w:val="center"/>
        <w:rPr>
          <w:lang w:val="fr-FR"/>
        </w:rPr>
      </w:pPr>
    </w:p>
    <w:p w:rsidR="00E40263" w:rsidRDefault="00E40263" w:rsidP="00E77CB3">
      <w:pPr>
        <w:jc w:val="center"/>
        <w:rPr>
          <w:lang w:val="fr-FR"/>
        </w:rPr>
      </w:pPr>
    </w:p>
    <w:p w:rsidR="00E40263" w:rsidRPr="00DD4AAB" w:rsidRDefault="00E40263" w:rsidP="00E77CB3">
      <w:pPr>
        <w:jc w:val="center"/>
        <w:rPr>
          <w:lang w:val="fr-FR"/>
        </w:rPr>
      </w:pPr>
    </w:p>
    <w:p w:rsidR="00E77CB3" w:rsidRPr="00DD4AAB" w:rsidRDefault="00E77CB3" w:rsidP="00E77CB3">
      <w:pPr>
        <w:jc w:val="center"/>
        <w:rPr>
          <w:b/>
          <w:lang w:val="fr-FR"/>
        </w:rPr>
      </w:pPr>
      <w:bookmarkStart w:id="1" w:name="To"/>
      <w:r w:rsidRPr="00DD4AAB">
        <w:rPr>
          <w:b/>
          <w:lang w:val="fr-FR"/>
        </w:rPr>
        <w:t xml:space="preserve">AFFAIRE </w:t>
      </w:r>
      <w:bookmarkEnd w:id="1"/>
      <w:r w:rsidR="00BA117C">
        <w:rPr>
          <w:b/>
          <w:lang w:val="fr-FR"/>
        </w:rPr>
        <w:t xml:space="preserve">CONTRADA c. </w:t>
      </w:r>
      <w:r w:rsidR="00117E94">
        <w:rPr>
          <w:b/>
          <w:lang w:val="fr-FR"/>
        </w:rPr>
        <w:t>ITALIE (N</w:t>
      </w:r>
      <w:r w:rsidR="00117E94" w:rsidRPr="00E40263">
        <w:rPr>
          <w:b/>
          <w:vertAlign w:val="superscript"/>
          <w:lang w:val="fr-FR"/>
        </w:rPr>
        <w:t>o</w:t>
      </w:r>
      <w:r w:rsidR="00117E94">
        <w:rPr>
          <w:b/>
          <w:lang w:val="fr-FR"/>
        </w:rPr>
        <w:t xml:space="preserve"> 3)</w:t>
      </w:r>
    </w:p>
    <w:p w:rsidR="00E77CB3" w:rsidRPr="00DD4AAB" w:rsidRDefault="00E77CB3" w:rsidP="00E77CB3">
      <w:pPr>
        <w:jc w:val="center"/>
        <w:rPr>
          <w:lang w:val="fr-FR"/>
        </w:rPr>
      </w:pPr>
    </w:p>
    <w:p w:rsidR="00E40263" w:rsidRDefault="00E77CB3" w:rsidP="00E40263">
      <w:pPr>
        <w:jc w:val="center"/>
        <w:rPr>
          <w:rStyle w:val="ju-005fpara--char"/>
          <w:iCs/>
          <w:sz w:val="22"/>
          <w:lang w:val="fr-FR"/>
        </w:rPr>
      </w:pPr>
      <w:r w:rsidRPr="00DD4AAB">
        <w:rPr>
          <w:i/>
          <w:lang w:val="fr-FR"/>
        </w:rPr>
        <w:t>(</w:t>
      </w:r>
      <w:r w:rsidR="00BA117C" w:rsidRPr="00DD4AAB">
        <w:rPr>
          <w:i/>
          <w:lang w:val="fr-FR"/>
        </w:rPr>
        <w:t>Requête n</w:t>
      </w:r>
      <w:r w:rsidR="00BA117C" w:rsidRPr="00DD4AAB">
        <w:rPr>
          <w:i/>
          <w:vertAlign w:val="superscript"/>
          <w:lang w:val="fr-FR"/>
        </w:rPr>
        <w:t>o</w:t>
      </w:r>
      <w:r w:rsidR="00BA117C" w:rsidRPr="00DD4AAB">
        <w:rPr>
          <w:i/>
          <w:lang w:val="fr-FR"/>
        </w:rPr>
        <w:t xml:space="preserve"> </w:t>
      </w:r>
      <w:r w:rsidR="00BA117C">
        <w:rPr>
          <w:i/>
          <w:lang w:val="fr-FR"/>
        </w:rPr>
        <w:t>66655/13</w:t>
      </w:r>
      <w:r w:rsidRPr="00DD4AAB">
        <w:rPr>
          <w:i/>
          <w:lang w:val="fr-FR"/>
        </w:rPr>
        <w:t>)</w:t>
      </w: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Default="00E40263" w:rsidP="00E40263">
      <w:pPr>
        <w:jc w:val="center"/>
        <w:rPr>
          <w:rStyle w:val="ju-005fpara--char"/>
          <w:iCs/>
          <w:sz w:val="22"/>
          <w:lang w:val="fr-FR"/>
        </w:rPr>
      </w:pPr>
    </w:p>
    <w:p w:rsidR="00E40263" w:rsidRPr="00E40263" w:rsidRDefault="00E40263" w:rsidP="00E40263">
      <w:pPr>
        <w:jc w:val="center"/>
        <w:rPr>
          <w:rStyle w:val="ju-005fpara--char"/>
          <w:iCs/>
          <w:sz w:val="22"/>
          <w:lang w:val="fr-FR"/>
        </w:rPr>
      </w:pPr>
      <w:r>
        <w:rPr>
          <w:rStyle w:val="ju-005fpara--char"/>
          <w:iCs/>
          <w:sz w:val="22"/>
          <w:lang w:val="fr-FR"/>
        </w:rPr>
        <w:t>ARRÊT</w:t>
      </w: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jc w:val="center"/>
        <w:rPr>
          <w:lang w:val="fr-FR"/>
        </w:rPr>
      </w:pPr>
      <w:r>
        <w:rPr>
          <w:lang w:val="fr-FR"/>
        </w:rPr>
        <w:t>STRASBOURG</w:t>
      </w:r>
    </w:p>
    <w:p w:rsidR="00E40263" w:rsidRDefault="00E40263" w:rsidP="00E40263">
      <w:pPr>
        <w:jc w:val="center"/>
        <w:rPr>
          <w:lang w:val="fr-FR"/>
        </w:rPr>
      </w:pPr>
    </w:p>
    <w:p w:rsidR="00E40263" w:rsidRDefault="00E40263" w:rsidP="00E40263">
      <w:pPr>
        <w:jc w:val="center"/>
        <w:rPr>
          <w:lang w:val="fr-FR"/>
        </w:rPr>
      </w:pPr>
      <w:r>
        <w:rPr>
          <w:lang w:val="fr-FR"/>
        </w:rPr>
        <w:t>14 avril 2015</w:t>
      </w: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jc w:val="center"/>
        <w:rPr>
          <w:lang w:val="fr-FR"/>
        </w:rPr>
      </w:pPr>
    </w:p>
    <w:p w:rsidR="00E40263" w:rsidRDefault="00E40263" w:rsidP="00E40263">
      <w:pPr>
        <w:rPr>
          <w:i/>
          <w:sz w:val="22"/>
          <w:lang w:val="fr-FR"/>
        </w:rPr>
      </w:pPr>
      <w:r>
        <w:rPr>
          <w:i/>
          <w:sz w:val="22"/>
          <w:lang w:val="fr-FR"/>
        </w:rPr>
        <w:t>Cet arrêt deviendra définitif dans les conditions définies à l</w:t>
      </w:r>
      <w:r w:rsidR="00A14196">
        <w:rPr>
          <w:i/>
          <w:sz w:val="22"/>
          <w:lang w:val="fr-FR"/>
        </w:rPr>
        <w:t>’</w:t>
      </w:r>
      <w:r>
        <w:rPr>
          <w:i/>
          <w:sz w:val="22"/>
          <w:lang w:val="fr-FR"/>
        </w:rPr>
        <w:t>article 44 § 2 de la Convention. Il peut subir des retouches de forme.</w:t>
      </w:r>
    </w:p>
    <w:p w:rsidR="00117E94" w:rsidRDefault="00117E94" w:rsidP="00E40263">
      <w:pPr>
        <w:rPr>
          <w:i/>
          <w:sz w:val="22"/>
          <w:lang w:val="fr-FR"/>
        </w:rPr>
      </w:pPr>
    </w:p>
    <w:p w:rsidR="00117E94" w:rsidRPr="00E40263" w:rsidRDefault="00117E94" w:rsidP="00E40263">
      <w:pPr>
        <w:rPr>
          <w:lang w:val="fr-FR"/>
        </w:rPr>
        <w:sectPr w:rsidR="00117E94" w:rsidRPr="00E40263" w:rsidSect="00E40263">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E77CB3" w:rsidRPr="00DD4AAB" w:rsidRDefault="00E77CB3" w:rsidP="00E77CB3">
      <w:pPr>
        <w:pStyle w:val="JuCase"/>
        <w:rPr>
          <w:lang w:val="fr-FR"/>
        </w:rPr>
      </w:pPr>
      <w:r w:rsidRPr="00DD4AAB">
        <w:rPr>
          <w:lang w:val="fr-FR"/>
        </w:rPr>
        <w:lastRenderedPageBreak/>
        <w:t>En l</w:t>
      </w:r>
      <w:r w:rsidR="00A14196">
        <w:rPr>
          <w:lang w:val="fr-FR"/>
        </w:rPr>
        <w:t>’</w:t>
      </w:r>
      <w:r w:rsidRPr="00DD4AAB">
        <w:rPr>
          <w:lang w:val="fr-FR"/>
        </w:rPr>
        <w:t xml:space="preserve">affaire </w:t>
      </w:r>
      <w:r w:rsidR="00B04E1A">
        <w:rPr>
          <w:lang w:val="fr-FR"/>
        </w:rPr>
        <w:t xml:space="preserve">Contrada </w:t>
      </w:r>
      <w:r w:rsidR="00BA117C">
        <w:rPr>
          <w:lang w:val="fr-FR"/>
        </w:rPr>
        <w:t xml:space="preserve">c. </w:t>
      </w:r>
      <w:r w:rsidR="00117E94">
        <w:rPr>
          <w:lang w:val="fr-FR"/>
        </w:rPr>
        <w:t>Italie (n</w:t>
      </w:r>
      <w:r w:rsidR="00117E94" w:rsidRPr="00E40263">
        <w:rPr>
          <w:vertAlign w:val="superscript"/>
          <w:lang w:val="fr-FR"/>
        </w:rPr>
        <w:t>o</w:t>
      </w:r>
      <w:r w:rsidR="00117E94">
        <w:rPr>
          <w:lang w:val="fr-FR"/>
        </w:rPr>
        <w:t xml:space="preserve"> 3)</w:t>
      </w:r>
      <w:r w:rsidRPr="00DD4AAB">
        <w:rPr>
          <w:lang w:val="fr-FR"/>
        </w:rPr>
        <w:t>,</w:t>
      </w:r>
    </w:p>
    <w:p w:rsidR="00E77CB3" w:rsidRPr="00DD4AAB" w:rsidRDefault="00E77CB3" w:rsidP="00C63990">
      <w:pPr>
        <w:pStyle w:val="ECHRPara"/>
        <w:rPr>
          <w:lang w:val="fr-FR"/>
        </w:rPr>
      </w:pPr>
      <w:r w:rsidRPr="00DD4AAB">
        <w:rPr>
          <w:lang w:val="fr-FR"/>
        </w:rPr>
        <w:t>La Cour européenne des droits de l</w:t>
      </w:r>
      <w:r w:rsidR="00A14196">
        <w:rPr>
          <w:lang w:val="fr-FR"/>
        </w:rPr>
        <w:t>’</w:t>
      </w:r>
      <w:r w:rsidRPr="00DD4AAB">
        <w:rPr>
          <w:lang w:val="fr-FR"/>
        </w:rPr>
        <w:t>homme (</w:t>
      </w:r>
      <w:r w:rsidR="00BA117C">
        <w:rPr>
          <w:lang w:val="fr-FR"/>
        </w:rPr>
        <w:t>quatrième section</w:t>
      </w:r>
      <w:r w:rsidRPr="00DD4AAB">
        <w:rPr>
          <w:lang w:val="fr-FR"/>
        </w:rPr>
        <w:t xml:space="preserve">), siégeant en </w:t>
      </w:r>
      <w:r w:rsidR="00BA117C" w:rsidRPr="00DD4AAB">
        <w:rPr>
          <w:lang w:val="fr-FR"/>
        </w:rPr>
        <w:t xml:space="preserve">une </w:t>
      </w:r>
      <w:r w:rsidR="00BA117C">
        <w:rPr>
          <w:lang w:val="fr-FR"/>
        </w:rPr>
        <w:t>chambre</w:t>
      </w:r>
      <w:r w:rsidR="00BA117C" w:rsidRPr="00DD4AAB">
        <w:rPr>
          <w:lang w:val="fr-FR"/>
        </w:rPr>
        <w:t xml:space="preserve"> composée</w:t>
      </w:r>
      <w:r w:rsidRPr="00DD4AAB">
        <w:rPr>
          <w:lang w:val="fr-FR"/>
        </w:rPr>
        <w:t xml:space="preserve"> de :</w:t>
      </w:r>
    </w:p>
    <w:p w:rsidR="00E77CB3" w:rsidRPr="00DD4AAB" w:rsidRDefault="00E40263" w:rsidP="00C63990">
      <w:pPr>
        <w:pStyle w:val="ECHRDecisionBody"/>
        <w:rPr>
          <w:lang w:val="fr-FR"/>
        </w:rPr>
      </w:pPr>
      <w:r w:rsidRPr="00E40263">
        <w:rPr>
          <w:lang w:val="fr-FR"/>
        </w:rPr>
        <w:tab/>
        <w:t>Päivi</w:t>
      </w:r>
      <w:r>
        <w:rPr>
          <w:lang w:val="fr-FR"/>
        </w:rPr>
        <w:t xml:space="preserve"> </w:t>
      </w:r>
      <w:r w:rsidRPr="00E40263">
        <w:rPr>
          <w:lang w:val="fr-FR"/>
        </w:rPr>
        <w:t>Hirvelä</w:t>
      </w:r>
      <w:r>
        <w:rPr>
          <w:lang w:val="fr-FR"/>
        </w:rPr>
        <w:t>,</w:t>
      </w:r>
      <w:r w:rsidRPr="00E40263">
        <w:rPr>
          <w:i/>
          <w:lang w:val="fr-FR"/>
        </w:rPr>
        <w:t xml:space="preserve"> présidente,</w:t>
      </w:r>
      <w:r>
        <w:rPr>
          <w:i/>
          <w:lang w:val="fr-FR"/>
        </w:rPr>
        <w:br/>
      </w:r>
      <w:r w:rsidRPr="00E40263">
        <w:rPr>
          <w:lang w:val="fr-FR"/>
        </w:rPr>
        <w:tab/>
        <w:t>Guido</w:t>
      </w:r>
      <w:r>
        <w:rPr>
          <w:lang w:val="fr-FR"/>
        </w:rPr>
        <w:t xml:space="preserve"> </w:t>
      </w:r>
      <w:r w:rsidRPr="00E40263">
        <w:rPr>
          <w:lang w:val="fr-FR"/>
        </w:rPr>
        <w:t>Raimondi</w:t>
      </w:r>
      <w:r>
        <w:rPr>
          <w:lang w:val="fr-FR"/>
        </w:rPr>
        <w:t>,</w:t>
      </w:r>
      <w:r>
        <w:rPr>
          <w:i/>
          <w:lang w:val="fr-FR"/>
        </w:rPr>
        <w:br/>
      </w:r>
      <w:r w:rsidRPr="00E40263">
        <w:rPr>
          <w:lang w:val="fr-FR"/>
        </w:rPr>
        <w:tab/>
        <w:t>George</w:t>
      </w:r>
      <w:r>
        <w:rPr>
          <w:lang w:val="fr-FR"/>
        </w:rPr>
        <w:t xml:space="preserve"> </w:t>
      </w:r>
      <w:r w:rsidRPr="00E40263">
        <w:rPr>
          <w:lang w:val="fr-FR"/>
        </w:rPr>
        <w:t>Nicolaou</w:t>
      </w:r>
      <w:r>
        <w:rPr>
          <w:lang w:val="fr-FR"/>
        </w:rPr>
        <w:t>,</w:t>
      </w:r>
      <w:r>
        <w:rPr>
          <w:i/>
          <w:lang w:val="fr-FR"/>
        </w:rPr>
        <w:br/>
      </w:r>
      <w:r w:rsidRPr="00E40263">
        <w:rPr>
          <w:lang w:val="fr-FR"/>
        </w:rPr>
        <w:tab/>
        <w:t>Ledi</w:t>
      </w:r>
      <w:r>
        <w:rPr>
          <w:lang w:val="fr-FR"/>
        </w:rPr>
        <w:t xml:space="preserve"> </w:t>
      </w:r>
      <w:r w:rsidRPr="00E40263">
        <w:rPr>
          <w:lang w:val="fr-FR"/>
        </w:rPr>
        <w:t>Bianku</w:t>
      </w:r>
      <w:r>
        <w:rPr>
          <w:lang w:val="fr-FR"/>
        </w:rPr>
        <w:t>,</w:t>
      </w:r>
      <w:r>
        <w:rPr>
          <w:i/>
          <w:lang w:val="fr-FR"/>
        </w:rPr>
        <w:br/>
      </w:r>
      <w:r w:rsidRPr="00E40263">
        <w:rPr>
          <w:lang w:val="fr-FR"/>
        </w:rPr>
        <w:tab/>
        <w:t>Nona</w:t>
      </w:r>
      <w:r>
        <w:rPr>
          <w:lang w:val="fr-FR"/>
        </w:rPr>
        <w:t xml:space="preserve"> </w:t>
      </w:r>
      <w:r w:rsidRPr="00E40263">
        <w:rPr>
          <w:lang w:val="fr-FR"/>
        </w:rPr>
        <w:t>Tsotsoria</w:t>
      </w:r>
      <w:r>
        <w:rPr>
          <w:lang w:val="fr-FR"/>
        </w:rPr>
        <w:t>,</w:t>
      </w:r>
      <w:r>
        <w:rPr>
          <w:i/>
          <w:lang w:val="fr-FR"/>
        </w:rPr>
        <w:br/>
      </w:r>
      <w:r w:rsidRPr="00E40263">
        <w:rPr>
          <w:lang w:val="fr-FR"/>
        </w:rPr>
        <w:tab/>
        <w:t>Paul</w:t>
      </w:r>
      <w:r>
        <w:rPr>
          <w:lang w:val="fr-FR"/>
        </w:rPr>
        <w:t xml:space="preserve"> </w:t>
      </w:r>
      <w:r w:rsidRPr="00E40263">
        <w:rPr>
          <w:lang w:val="fr-FR"/>
        </w:rPr>
        <w:t>Mahoney</w:t>
      </w:r>
      <w:r>
        <w:rPr>
          <w:lang w:val="fr-FR"/>
        </w:rPr>
        <w:t>,</w:t>
      </w:r>
      <w:r>
        <w:rPr>
          <w:i/>
          <w:lang w:val="fr-FR"/>
        </w:rPr>
        <w:br/>
      </w:r>
      <w:r w:rsidRPr="00E40263">
        <w:rPr>
          <w:lang w:val="fr-FR"/>
        </w:rPr>
        <w:tab/>
        <w:t>Krzysztof</w:t>
      </w:r>
      <w:r>
        <w:rPr>
          <w:lang w:val="fr-FR"/>
        </w:rPr>
        <w:t xml:space="preserve"> </w:t>
      </w:r>
      <w:r w:rsidRPr="00E40263">
        <w:rPr>
          <w:lang w:val="fr-FR"/>
        </w:rPr>
        <w:t>Wojtyczek</w:t>
      </w:r>
      <w:r>
        <w:rPr>
          <w:lang w:val="fr-FR"/>
        </w:rPr>
        <w:t>,</w:t>
      </w:r>
      <w:r w:rsidRPr="00E40263">
        <w:rPr>
          <w:i/>
          <w:lang w:val="fr-FR"/>
        </w:rPr>
        <w:t xml:space="preserve"> juges,</w:t>
      </w:r>
      <w:r>
        <w:rPr>
          <w:i/>
          <w:lang w:val="fr-FR"/>
        </w:rPr>
        <w:br/>
      </w:r>
      <w:r w:rsidR="00E77CB3" w:rsidRPr="00DD4AAB">
        <w:rPr>
          <w:lang w:val="fr-FR"/>
        </w:rPr>
        <w:t xml:space="preserve">et de </w:t>
      </w:r>
      <w:r w:rsidR="00BA117C">
        <w:rPr>
          <w:lang w:val="fr-FR"/>
        </w:rPr>
        <w:t>Françoise</w:t>
      </w:r>
      <w:r w:rsidR="00BA117C" w:rsidRPr="00DD4AAB">
        <w:rPr>
          <w:lang w:val="fr-FR"/>
        </w:rPr>
        <w:t xml:space="preserve"> </w:t>
      </w:r>
      <w:r w:rsidR="00BA117C">
        <w:rPr>
          <w:lang w:val="fr-FR"/>
        </w:rPr>
        <w:t>Elens-Passos</w:t>
      </w:r>
      <w:r w:rsidR="00E77CB3" w:rsidRPr="00DD4AAB">
        <w:rPr>
          <w:lang w:val="fr-FR"/>
        </w:rPr>
        <w:t xml:space="preserve">, </w:t>
      </w:r>
      <w:r w:rsidR="00BA117C" w:rsidRPr="00DD4AAB">
        <w:rPr>
          <w:i/>
          <w:lang w:val="fr-FR"/>
        </w:rPr>
        <w:t>greffière</w:t>
      </w:r>
      <w:r w:rsidR="00BA117C" w:rsidRPr="00DD4AAB">
        <w:rPr>
          <w:iCs/>
          <w:lang w:val="fr-FR"/>
        </w:rPr>
        <w:t xml:space="preserve"> </w:t>
      </w:r>
      <w:r w:rsidR="00BA117C" w:rsidRPr="00DD4AAB">
        <w:rPr>
          <w:i/>
          <w:iCs/>
          <w:lang w:val="fr-FR"/>
        </w:rPr>
        <w:t>d</w:t>
      </w:r>
      <w:r w:rsidR="00BA117C" w:rsidRPr="00DD4AAB">
        <w:rPr>
          <w:i/>
          <w:lang w:val="fr-FR"/>
        </w:rPr>
        <w:t>e section</w:t>
      </w:r>
      <w:r w:rsidR="00E77CB3" w:rsidRPr="00DD4AAB">
        <w:rPr>
          <w:i/>
          <w:lang w:val="fr-FR"/>
        </w:rPr>
        <w:t>,</w:t>
      </w:r>
    </w:p>
    <w:p w:rsidR="00E77CB3" w:rsidRPr="00DD4AAB" w:rsidRDefault="00E77CB3" w:rsidP="00C63990">
      <w:pPr>
        <w:pStyle w:val="ECHRPara"/>
        <w:rPr>
          <w:lang w:val="fr-FR"/>
        </w:rPr>
      </w:pPr>
      <w:r w:rsidRPr="00DD4AAB">
        <w:rPr>
          <w:lang w:val="fr-FR"/>
        </w:rPr>
        <w:t xml:space="preserve">Après en avoir délibéré en chambre du conseil le </w:t>
      </w:r>
      <w:r w:rsidR="00E40263">
        <w:rPr>
          <w:lang w:val="fr-FR"/>
        </w:rPr>
        <w:t>24 mars 2015</w:t>
      </w:r>
      <w:r w:rsidRPr="00DD4AAB">
        <w:rPr>
          <w:lang w:val="fr-FR"/>
        </w:rPr>
        <w:t>,</w:t>
      </w:r>
    </w:p>
    <w:p w:rsidR="00E77CB3" w:rsidRPr="00DD4AAB" w:rsidRDefault="00E77CB3" w:rsidP="00C63990">
      <w:pPr>
        <w:pStyle w:val="ECHRPara"/>
        <w:rPr>
          <w:lang w:val="fr-FR"/>
        </w:rPr>
      </w:pPr>
      <w:r w:rsidRPr="00DD4AAB">
        <w:rPr>
          <w:lang w:val="fr-FR"/>
        </w:rPr>
        <w:t>Rend l</w:t>
      </w:r>
      <w:r w:rsidR="00A14196">
        <w:rPr>
          <w:lang w:val="fr-FR"/>
        </w:rPr>
        <w:t>’</w:t>
      </w:r>
      <w:r w:rsidRPr="00DD4AAB">
        <w:rPr>
          <w:lang w:val="fr-FR"/>
        </w:rPr>
        <w:t>arrêt que voici, adopté à cette date :</w:t>
      </w:r>
    </w:p>
    <w:p w:rsidR="00E77CB3" w:rsidRPr="00DD4AAB" w:rsidRDefault="00E77CB3" w:rsidP="00E77CB3">
      <w:pPr>
        <w:pStyle w:val="ECHRTitle1"/>
        <w:rPr>
          <w:lang w:val="fr-FR"/>
        </w:rPr>
      </w:pPr>
      <w:r w:rsidRPr="00DD4AAB">
        <w:rPr>
          <w:lang w:val="fr-FR"/>
        </w:rPr>
        <w:t>PROCÉDURE</w:t>
      </w:r>
    </w:p>
    <w:p w:rsidR="00630205" w:rsidRPr="00AD412E" w:rsidRDefault="00630205" w:rsidP="00630205">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w:t>
      </w:r>
      <w:r>
        <w:rPr>
          <w:lang w:val="fr-FR"/>
        </w:rPr>
        <w:fldChar w:fldCharType="end"/>
      </w:r>
      <w:r w:rsidRPr="00AD412E">
        <w:rPr>
          <w:lang w:val="fr-FR"/>
        </w:rPr>
        <w:t>.  À l</w:t>
      </w:r>
      <w:r w:rsidR="00A14196">
        <w:rPr>
          <w:lang w:val="fr-FR"/>
        </w:rPr>
        <w:t>’</w:t>
      </w:r>
      <w:r w:rsidRPr="00AD412E">
        <w:rPr>
          <w:lang w:val="fr-FR"/>
        </w:rPr>
        <w:t>origine de l</w:t>
      </w:r>
      <w:r w:rsidR="00A14196">
        <w:rPr>
          <w:lang w:val="fr-FR"/>
        </w:rPr>
        <w:t>’</w:t>
      </w:r>
      <w:r w:rsidRPr="00AD412E">
        <w:rPr>
          <w:lang w:val="fr-FR"/>
        </w:rPr>
        <w:t>affaire se trouve une requête (n</w:t>
      </w:r>
      <w:r w:rsidR="00E40263" w:rsidRPr="00E40263">
        <w:rPr>
          <w:vertAlign w:val="superscript"/>
          <w:lang w:val="fr-FR"/>
        </w:rPr>
        <w:t>o</w:t>
      </w:r>
      <w:r w:rsidRPr="00AD412E">
        <w:rPr>
          <w:lang w:val="fr-FR"/>
        </w:rPr>
        <w:t xml:space="preserve"> </w:t>
      </w:r>
      <w:r>
        <w:rPr>
          <w:lang w:val="fr-FR"/>
        </w:rPr>
        <w:t>66655/13</w:t>
      </w:r>
      <w:r w:rsidRPr="00AD412E">
        <w:rPr>
          <w:lang w:val="fr-FR"/>
        </w:rPr>
        <w:t xml:space="preserve">) dirigée contre </w:t>
      </w:r>
      <w:r>
        <w:rPr>
          <w:lang w:val="fr-FR"/>
        </w:rPr>
        <w:t>la République italienne</w:t>
      </w:r>
      <w:r w:rsidRPr="00AD412E">
        <w:rPr>
          <w:lang w:val="fr-FR"/>
        </w:rPr>
        <w:t xml:space="preserve"> et dont un ressortissant de cet État, </w:t>
      </w:r>
      <w:r>
        <w:rPr>
          <w:lang w:val="fr-FR"/>
        </w:rPr>
        <w:t>M.</w:t>
      </w:r>
      <w:r w:rsidR="00E40263">
        <w:rPr>
          <w:lang w:val="fr-FR"/>
        </w:rPr>
        <w:t> </w:t>
      </w:r>
      <w:r>
        <w:rPr>
          <w:lang w:val="fr-FR"/>
        </w:rPr>
        <w:t>Bruno</w:t>
      </w:r>
      <w:r w:rsidR="00E40263">
        <w:rPr>
          <w:lang w:val="fr-FR"/>
        </w:rPr>
        <w:t> </w:t>
      </w:r>
      <w:r>
        <w:rPr>
          <w:lang w:val="fr-FR"/>
        </w:rPr>
        <w:t>Contrada</w:t>
      </w:r>
      <w:r w:rsidRPr="00AD412E">
        <w:rPr>
          <w:lang w:val="fr-FR"/>
        </w:rPr>
        <w:t xml:space="preserve"> (« le requérant »), a saisi la Cour le </w:t>
      </w:r>
      <w:r>
        <w:rPr>
          <w:lang w:val="fr-FR"/>
        </w:rPr>
        <w:t>4 juillet 2008</w:t>
      </w:r>
      <w:r w:rsidRPr="00AD412E">
        <w:rPr>
          <w:lang w:val="fr-FR"/>
        </w:rPr>
        <w:t xml:space="preserve"> en vertu de l</w:t>
      </w:r>
      <w:r w:rsidR="00A14196">
        <w:rPr>
          <w:lang w:val="fr-FR"/>
        </w:rPr>
        <w:t>’</w:t>
      </w:r>
      <w:r w:rsidRPr="00AD412E">
        <w:rPr>
          <w:lang w:val="fr-FR"/>
        </w:rPr>
        <w:t>article 34 de la Convention de sauvegarde des droits de l</w:t>
      </w:r>
      <w:r w:rsidR="00A14196">
        <w:rPr>
          <w:lang w:val="fr-FR"/>
        </w:rPr>
        <w:t>’</w:t>
      </w:r>
      <w:r w:rsidRPr="00AD412E">
        <w:rPr>
          <w:lang w:val="fr-FR"/>
        </w:rPr>
        <w:t>homme et des libertés fondamentales (« la Convention »).</w:t>
      </w:r>
    </w:p>
    <w:p w:rsidR="005D44BD" w:rsidRDefault="00630205" w:rsidP="00630205">
      <w:pPr>
        <w:pStyle w:val="ECHRPara"/>
        <w:rPr>
          <w:lang w:val="pt-BR"/>
        </w:rPr>
      </w:pPr>
      <w:r>
        <w:rPr>
          <w:lang w:val="pt-BR"/>
        </w:rPr>
        <w:fldChar w:fldCharType="begin"/>
      </w:r>
      <w:r>
        <w:rPr>
          <w:lang w:val="pt-BR"/>
        </w:rPr>
        <w:instrText xml:space="preserve"> SEQ level0 \*arabic </w:instrText>
      </w:r>
      <w:r>
        <w:rPr>
          <w:lang w:val="pt-BR"/>
        </w:rPr>
        <w:fldChar w:fldCharType="separate"/>
      </w:r>
      <w:r w:rsidR="003B0C14">
        <w:rPr>
          <w:noProof/>
          <w:lang w:val="pt-BR"/>
        </w:rPr>
        <w:t>2</w:t>
      </w:r>
      <w:r>
        <w:rPr>
          <w:lang w:val="pt-BR"/>
        </w:rPr>
        <w:fldChar w:fldCharType="end"/>
      </w:r>
      <w:r w:rsidRPr="00D42AFF">
        <w:rPr>
          <w:lang w:val="pt-BR"/>
        </w:rPr>
        <w:t>.  Le requérant a été représenté par M</w:t>
      </w:r>
      <w:r w:rsidRPr="00D42AFF">
        <w:rPr>
          <w:vertAlign w:val="superscript"/>
          <w:lang w:val="pt-BR"/>
        </w:rPr>
        <w:t>e</w:t>
      </w:r>
      <w:r w:rsidRPr="00D42AFF">
        <w:rPr>
          <w:lang w:val="pt-BR"/>
        </w:rPr>
        <w:t> </w:t>
      </w:r>
      <w:r>
        <w:rPr>
          <w:lang w:val="pt-BR"/>
        </w:rPr>
        <w:t>E.</w:t>
      </w:r>
      <w:r w:rsidRPr="00D42AFF">
        <w:rPr>
          <w:lang w:val="pt-BR"/>
        </w:rPr>
        <w:t xml:space="preserve"> </w:t>
      </w:r>
      <w:r>
        <w:rPr>
          <w:lang w:val="pt-BR"/>
        </w:rPr>
        <w:t>Tagle</w:t>
      </w:r>
      <w:r w:rsidRPr="00D42AFF">
        <w:rPr>
          <w:lang w:val="pt-BR"/>
        </w:rPr>
        <w:t xml:space="preserve">, avocat à </w:t>
      </w:r>
      <w:r>
        <w:rPr>
          <w:lang w:val="pt-BR"/>
        </w:rPr>
        <w:t>Naples</w:t>
      </w:r>
      <w:r w:rsidRPr="00D42AFF">
        <w:rPr>
          <w:lang w:val="pt-BR"/>
        </w:rPr>
        <w:t xml:space="preserve">. Le gouvernement </w:t>
      </w:r>
      <w:r>
        <w:rPr>
          <w:lang w:val="pt-BR"/>
        </w:rPr>
        <w:t>italien</w:t>
      </w:r>
      <w:r w:rsidRPr="00D42AFF">
        <w:rPr>
          <w:lang w:val="pt-BR"/>
        </w:rPr>
        <w:t xml:space="preserve"> (« le Gouvernement ») a été représenté par son agent</w:t>
      </w:r>
      <w:r w:rsidR="00BD7028">
        <w:rPr>
          <w:lang w:val="pt-BR"/>
        </w:rPr>
        <w:t>e</w:t>
      </w:r>
      <w:r w:rsidRPr="00D42AFF">
        <w:rPr>
          <w:lang w:val="pt-BR"/>
        </w:rPr>
        <w:t xml:space="preserve">, </w:t>
      </w:r>
      <w:r w:rsidRPr="006636EC">
        <w:rPr>
          <w:rStyle w:val="sb8d990e2"/>
          <w:lang w:val="fr-FR"/>
        </w:rPr>
        <w:t>M</w:t>
      </w:r>
      <w:r w:rsidRPr="00F25EF8">
        <w:rPr>
          <w:rStyle w:val="sea881cdf"/>
          <w:vertAlign w:val="superscript"/>
          <w:lang w:val="fr-FR"/>
        </w:rPr>
        <w:t>me</w:t>
      </w:r>
      <w:r w:rsidRPr="006636EC">
        <w:rPr>
          <w:rStyle w:val="sea881cdf"/>
          <w:lang w:val="fr-FR"/>
        </w:rPr>
        <w:t xml:space="preserve"> </w:t>
      </w:r>
      <w:r w:rsidR="00BD7028">
        <w:rPr>
          <w:rStyle w:val="sb8d990e2"/>
          <w:lang w:val="fr-FR"/>
        </w:rPr>
        <w:t>E. Spatafora, ainsi que par sa</w:t>
      </w:r>
      <w:r w:rsidRPr="006636EC">
        <w:rPr>
          <w:rStyle w:val="sb8d990e2"/>
          <w:lang w:val="fr-FR"/>
        </w:rPr>
        <w:t xml:space="preserve"> coagent</w:t>
      </w:r>
      <w:r w:rsidR="00BD7028">
        <w:rPr>
          <w:rStyle w:val="sb8d990e2"/>
          <w:lang w:val="fr-FR"/>
        </w:rPr>
        <w:t>e</w:t>
      </w:r>
      <w:r w:rsidRPr="006636EC">
        <w:rPr>
          <w:rStyle w:val="sb8d990e2"/>
          <w:lang w:val="fr-FR"/>
        </w:rPr>
        <w:t>, M</w:t>
      </w:r>
      <w:r w:rsidRPr="00F25EF8">
        <w:rPr>
          <w:rStyle w:val="sea881cdf"/>
          <w:vertAlign w:val="superscript"/>
          <w:lang w:val="fr-FR"/>
        </w:rPr>
        <w:t>me</w:t>
      </w:r>
      <w:r>
        <w:rPr>
          <w:rStyle w:val="sb8d990e2"/>
          <w:lang w:val="fr-FR"/>
        </w:rPr>
        <w:t xml:space="preserve"> P. Accardo</w:t>
      </w:r>
      <w:r w:rsidRPr="00D42AFF">
        <w:rPr>
          <w:lang w:val="pt-BR"/>
        </w:rPr>
        <w:t>.</w:t>
      </w:r>
    </w:p>
    <w:p w:rsidR="00630205" w:rsidRPr="00AD412E" w:rsidRDefault="00630205" w:rsidP="00630205">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w:t>
      </w:r>
      <w:r>
        <w:rPr>
          <w:lang w:val="fr-FR"/>
        </w:rPr>
        <w:fldChar w:fldCharType="end"/>
      </w:r>
      <w:r w:rsidRPr="00AD412E">
        <w:rPr>
          <w:lang w:val="fr-FR"/>
        </w:rPr>
        <w:t xml:space="preserve">.  Le requérant allègue </w:t>
      </w:r>
      <w:r>
        <w:rPr>
          <w:lang w:val="fr-FR"/>
        </w:rPr>
        <w:t>que l</w:t>
      </w:r>
      <w:r w:rsidR="00A14196">
        <w:rPr>
          <w:lang w:val="fr-FR"/>
        </w:rPr>
        <w:t>’</w:t>
      </w:r>
      <w:r>
        <w:rPr>
          <w:lang w:val="fr-FR"/>
        </w:rPr>
        <w:t xml:space="preserve">infraction de « concours externe en association </w:t>
      </w:r>
      <w:r w:rsidR="00C342A8">
        <w:rPr>
          <w:lang w:val="fr-FR"/>
        </w:rPr>
        <w:t>de type mafieux</w:t>
      </w:r>
      <w:r>
        <w:rPr>
          <w:lang w:val="fr-FR"/>
        </w:rPr>
        <w:t>» pour laquelle il a été condamné est le résultat d</w:t>
      </w:r>
      <w:r w:rsidR="00A14196">
        <w:rPr>
          <w:lang w:val="fr-FR"/>
        </w:rPr>
        <w:t>’</w:t>
      </w:r>
      <w:r>
        <w:rPr>
          <w:lang w:val="fr-FR"/>
        </w:rPr>
        <w:t>une évolution de jurisprudence postérieure à l</w:t>
      </w:r>
      <w:r w:rsidR="00A14196">
        <w:rPr>
          <w:lang w:val="fr-FR"/>
        </w:rPr>
        <w:t>’</w:t>
      </w:r>
      <w:r>
        <w:rPr>
          <w:lang w:val="fr-FR"/>
        </w:rPr>
        <w:t xml:space="preserve">époque des faits </w:t>
      </w:r>
      <w:r w:rsidR="008E4F66">
        <w:rPr>
          <w:lang w:val="fr-FR"/>
        </w:rPr>
        <w:t>de l</w:t>
      </w:r>
      <w:r w:rsidR="00A14196">
        <w:rPr>
          <w:lang w:val="fr-FR"/>
        </w:rPr>
        <w:t>’</w:t>
      </w:r>
      <w:r w:rsidR="008E4F66">
        <w:rPr>
          <w:lang w:val="fr-FR"/>
        </w:rPr>
        <w:t>affaire</w:t>
      </w:r>
      <w:r>
        <w:rPr>
          <w:lang w:val="fr-FR"/>
        </w:rPr>
        <w:t>. Ainsi, l</w:t>
      </w:r>
      <w:r w:rsidR="00A14196">
        <w:rPr>
          <w:lang w:val="fr-FR"/>
        </w:rPr>
        <w:t>’</w:t>
      </w:r>
      <w:r>
        <w:rPr>
          <w:lang w:val="fr-FR"/>
        </w:rPr>
        <w:t>article 7 de la Convention aurait été violé en l</w:t>
      </w:r>
      <w:r w:rsidR="00A14196">
        <w:rPr>
          <w:lang w:val="fr-FR"/>
        </w:rPr>
        <w:t>’</w:t>
      </w:r>
      <w:r>
        <w:rPr>
          <w:lang w:val="fr-FR"/>
        </w:rPr>
        <w:t>espèce</w:t>
      </w:r>
      <w:r w:rsidRPr="00AD412E">
        <w:rPr>
          <w:lang w:val="fr-FR"/>
        </w:rPr>
        <w:t>.</w:t>
      </w:r>
    </w:p>
    <w:p w:rsidR="00630205" w:rsidRPr="00AD412E" w:rsidRDefault="00630205" w:rsidP="00630205">
      <w:pPr>
        <w:pStyle w:val="ECHRPara"/>
        <w:rPr>
          <w:szCs w:val="24"/>
          <w:lang w:val="fr-FR" w:eastAsia="en-GB"/>
        </w:rPr>
      </w:pPr>
      <w:r>
        <w:rPr>
          <w:lang w:val="fr-FR"/>
        </w:rPr>
        <w:fldChar w:fldCharType="begin"/>
      </w:r>
      <w:r>
        <w:rPr>
          <w:lang w:val="fr-FR"/>
        </w:rPr>
        <w:instrText xml:space="preserve"> SEQ level0 \*arabic </w:instrText>
      </w:r>
      <w:r>
        <w:rPr>
          <w:lang w:val="fr-FR"/>
        </w:rPr>
        <w:fldChar w:fldCharType="separate"/>
      </w:r>
      <w:r w:rsidR="003B0C14">
        <w:rPr>
          <w:noProof/>
          <w:lang w:val="fr-FR"/>
        </w:rPr>
        <w:t>4</w:t>
      </w:r>
      <w:r>
        <w:rPr>
          <w:lang w:val="fr-FR"/>
        </w:rPr>
        <w:fldChar w:fldCharType="end"/>
      </w:r>
      <w:r w:rsidRPr="00AD412E">
        <w:rPr>
          <w:lang w:val="fr-FR"/>
        </w:rPr>
        <w:t xml:space="preserve">.  Le </w:t>
      </w:r>
      <w:r>
        <w:rPr>
          <w:szCs w:val="24"/>
          <w:lang w:val="fr-FR"/>
        </w:rPr>
        <w:t>7 novembre 2013</w:t>
      </w:r>
      <w:r w:rsidRPr="00AD412E">
        <w:rPr>
          <w:lang w:val="fr-FR"/>
        </w:rPr>
        <w:t>, la requête a été communiquée au Gouvernement.</w:t>
      </w:r>
    </w:p>
    <w:p w:rsidR="00F66B50" w:rsidRPr="00AD412E" w:rsidRDefault="00F66B50" w:rsidP="00F66B50">
      <w:pPr>
        <w:pStyle w:val="ECHRTitle1"/>
        <w:tabs>
          <w:tab w:val="left" w:pos="5387"/>
        </w:tabs>
        <w:rPr>
          <w:lang w:val="fr-FR"/>
        </w:rPr>
      </w:pPr>
      <w:r w:rsidRPr="00AD412E">
        <w:rPr>
          <w:lang w:val="fr-FR"/>
        </w:rPr>
        <w:t>EN FAIT</w:t>
      </w:r>
    </w:p>
    <w:p w:rsidR="00F66B50" w:rsidRPr="00AD412E" w:rsidRDefault="00F66B50" w:rsidP="00F66B50">
      <w:pPr>
        <w:pStyle w:val="ECHRHeading1"/>
        <w:rPr>
          <w:lang w:val="fr-FR"/>
        </w:rPr>
      </w:pPr>
      <w:r w:rsidRPr="00AD412E">
        <w:rPr>
          <w:lang w:val="fr-FR"/>
        </w:rPr>
        <w:t>I.  LES CIRCONSTANCES DE L</w:t>
      </w:r>
      <w:r w:rsidR="00A14196">
        <w:rPr>
          <w:lang w:val="fr-FR"/>
        </w:rPr>
        <w:t>’</w:t>
      </w:r>
      <w:r w:rsidRPr="00AD412E">
        <w:rPr>
          <w:lang w:val="fr-FR"/>
        </w:rPr>
        <w:t>ESPÈCE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w:t>
      </w:r>
      <w:r>
        <w:rPr>
          <w:lang w:val="fr-FR"/>
        </w:rPr>
        <w:fldChar w:fldCharType="end"/>
      </w:r>
      <w:r w:rsidRPr="00AD412E">
        <w:rPr>
          <w:lang w:val="fr-FR"/>
        </w:rPr>
        <w:t xml:space="preserve">.  Le requérant est né en </w:t>
      </w:r>
      <w:r>
        <w:rPr>
          <w:lang w:val="fr-FR"/>
        </w:rPr>
        <w:t>1931</w:t>
      </w:r>
      <w:r w:rsidRPr="00AD412E">
        <w:rPr>
          <w:lang w:val="fr-FR"/>
        </w:rPr>
        <w:t xml:space="preserve"> et </w:t>
      </w:r>
      <w:r w:rsidR="00213941">
        <w:rPr>
          <w:lang w:val="fr-FR"/>
        </w:rPr>
        <w:t>réside</w:t>
      </w:r>
      <w:r w:rsidRPr="00AD412E">
        <w:rPr>
          <w:lang w:val="fr-FR"/>
        </w:rPr>
        <w:t xml:space="preserve"> à </w:t>
      </w:r>
      <w:r>
        <w:rPr>
          <w:lang w:val="fr-FR"/>
        </w:rPr>
        <w:t>Palerme</w:t>
      </w:r>
      <w:r w:rsidRPr="00AD412E">
        <w:rPr>
          <w:lang w:val="fr-FR"/>
        </w:rPr>
        <w:t>.</w:t>
      </w:r>
    </w:p>
    <w:p w:rsidR="00F66B50" w:rsidRPr="00B70088" w:rsidRDefault="00183F4C" w:rsidP="00183F4C">
      <w:pPr>
        <w:pStyle w:val="ECHRHeading2"/>
        <w:rPr>
          <w:lang w:val="fr-FR"/>
        </w:rPr>
      </w:pPr>
      <w:r>
        <w:rPr>
          <w:lang w:val="fr-FR"/>
        </w:rPr>
        <w:lastRenderedPageBreak/>
        <w:t>A</w:t>
      </w:r>
      <w:r w:rsidR="00F66B50" w:rsidRPr="00B70088">
        <w:rPr>
          <w:lang w:val="fr-FR"/>
        </w:rPr>
        <w:t>.</w:t>
      </w:r>
      <w:r>
        <w:rPr>
          <w:lang w:val="fr-FR"/>
        </w:rPr>
        <w:t>  </w:t>
      </w:r>
      <w:r w:rsidR="00F66B50" w:rsidRPr="00B70088">
        <w:rPr>
          <w:lang w:val="fr-FR"/>
        </w:rPr>
        <w:t>La procédure en première instance devant le tribunal de Palerme</w:t>
      </w:r>
    </w:p>
    <w:p w:rsidR="00F66B50" w:rsidRPr="00B70088"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w:t>
      </w:r>
      <w:r>
        <w:rPr>
          <w:lang w:val="fr-FR"/>
        </w:rPr>
        <w:fldChar w:fldCharType="end"/>
      </w:r>
      <w:r>
        <w:rPr>
          <w:lang w:val="fr-FR"/>
        </w:rPr>
        <w:t>.  </w:t>
      </w:r>
      <w:r w:rsidRPr="00B70088">
        <w:rPr>
          <w:lang w:val="fr-FR"/>
        </w:rPr>
        <w:t xml:space="preserve">Par un </w:t>
      </w:r>
      <w:r>
        <w:rPr>
          <w:lang w:val="fr-FR"/>
        </w:rPr>
        <w:t>jugement</w:t>
      </w:r>
      <w:r w:rsidRPr="00B70088">
        <w:rPr>
          <w:lang w:val="fr-FR"/>
        </w:rPr>
        <w:t xml:space="preserve"> du 5 avril 1996, le tribunal de Palerme condamna le </w:t>
      </w:r>
      <w:r w:rsidRPr="00A60BBA">
        <w:rPr>
          <w:lang w:val="fr-FR"/>
        </w:rPr>
        <w:t>requérant à une peine de dix ans de réclusion pour concours en</w:t>
      </w:r>
      <w:r>
        <w:rPr>
          <w:lang w:val="fr-FR"/>
        </w:rPr>
        <w:t xml:space="preserve"> </w:t>
      </w:r>
      <w:r w:rsidRPr="00B70088">
        <w:rPr>
          <w:lang w:val="fr-FR"/>
        </w:rPr>
        <w:t xml:space="preserve">association </w:t>
      </w:r>
      <w:r w:rsidR="00872C82">
        <w:rPr>
          <w:lang w:val="fr-FR"/>
        </w:rPr>
        <w:t xml:space="preserve">de type </w:t>
      </w:r>
      <w:r w:rsidRPr="00B70088">
        <w:rPr>
          <w:lang w:val="fr-FR"/>
        </w:rPr>
        <w:t>mafieu</w:t>
      </w:r>
      <w:r w:rsidR="00872C82">
        <w:rPr>
          <w:lang w:val="fr-FR"/>
        </w:rPr>
        <w:t>x</w:t>
      </w:r>
      <w:r w:rsidRPr="00B70088">
        <w:rPr>
          <w:lang w:val="fr-FR"/>
        </w:rPr>
        <w:t xml:space="preserve"> (</w:t>
      </w:r>
      <w:r w:rsidRPr="00B70088">
        <w:rPr>
          <w:rStyle w:val="ju-005fpara--char"/>
          <w:i/>
          <w:iCs/>
          <w:lang w:val="fr-FR"/>
        </w:rPr>
        <w:t>concorso in associazione di stampo mafioso</w:t>
      </w:r>
      <w:r w:rsidRPr="00B70088">
        <w:rPr>
          <w:lang w:val="fr-FR"/>
        </w:rPr>
        <w:t xml:space="preserve">, articles 110, 416 et 416 </w:t>
      </w:r>
      <w:r w:rsidRPr="00B70088">
        <w:rPr>
          <w:rStyle w:val="ju-005fpara--char"/>
          <w:i/>
          <w:iCs/>
          <w:lang w:val="fr-FR"/>
        </w:rPr>
        <w:t>bis</w:t>
      </w:r>
      <w:r w:rsidRPr="00B70088">
        <w:rPr>
          <w:lang w:val="fr-FR"/>
        </w:rPr>
        <w:t xml:space="preserve"> du code pénal). Le tribunal retint notamment que, entre 1979 et 1988, le requérant, en qualité </w:t>
      </w:r>
      <w:r w:rsidR="00213941">
        <w:rPr>
          <w:lang w:val="fr-FR"/>
        </w:rPr>
        <w:t>d</w:t>
      </w:r>
      <w:r w:rsidR="00A14196">
        <w:rPr>
          <w:lang w:val="fr-FR"/>
        </w:rPr>
        <w:t>’</w:t>
      </w:r>
      <w:r w:rsidR="00213941">
        <w:rPr>
          <w:lang w:val="fr-FR"/>
        </w:rPr>
        <w:t xml:space="preserve">abord </w:t>
      </w:r>
      <w:r w:rsidRPr="00B70088">
        <w:rPr>
          <w:lang w:val="fr-FR"/>
        </w:rPr>
        <w:t>de fonctionnaire de police et ensuite de chef de cabinet du haut-commissaire pour la lutte contre la mafia</w:t>
      </w:r>
      <w:r w:rsidRPr="00B70088">
        <w:rPr>
          <w:rStyle w:val="ju-005fpara--char"/>
          <w:i/>
          <w:iCs/>
          <w:lang w:val="fr-FR"/>
        </w:rPr>
        <w:t xml:space="preserve"> </w:t>
      </w:r>
      <w:r w:rsidRPr="00B70088">
        <w:rPr>
          <w:lang w:val="fr-FR"/>
        </w:rPr>
        <w:t>et de directeur adjoint des services secrets civils (SISDE), avait systématiquement contribué aux activités et à la réalisation des buts criminels de l</w:t>
      </w:r>
      <w:r w:rsidR="00A14196">
        <w:rPr>
          <w:lang w:val="fr-FR"/>
        </w:rPr>
        <w:t>’</w:t>
      </w:r>
      <w:r w:rsidRPr="00B70088">
        <w:rPr>
          <w:lang w:val="fr-FR"/>
        </w:rPr>
        <w:t xml:space="preserve">association </w:t>
      </w:r>
      <w:r w:rsidR="00C342A8">
        <w:rPr>
          <w:lang w:val="fr-FR"/>
        </w:rPr>
        <w:t>de type mafieux</w:t>
      </w:r>
      <w:r w:rsidR="00C342A8" w:rsidRPr="00B70088">
        <w:rPr>
          <w:lang w:val="fr-FR"/>
        </w:rPr>
        <w:t xml:space="preserve"> </w:t>
      </w:r>
      <w:r w:rsidRPr="00B70088">
        <w:rPr>
          <w:lang w:val="fr-FR"/>
        </w:rPr>
        <w:t>dénommée « </w:t>
      </w:r>
      <w:r>
        <w:rPr>
          <w:i/>
          <w:lang w:val="fr-FR"/>
        </w:rPr>
        <w:t>C</w:t>
      </w:r>
      <w:r w:rsidRPr="00B70088">
        <w:rPr>
          <w:i/>
          <w:lang w:val="fr-FR"/>
        </w:rPr>
        <w:t>osa nostra</w:t>
      </w:r>
      <w:r w:rsidRPr="00B70088">
        <w:rPr>
          <w:lang w:val="fr-FR"/>
        </w:rPr>
        <w:t> ». Selon le tribunal, le requérant a</w:t>
      </w:r>
      <w:r w:rsidR="00AF3052">
        <w:rPr>
          <w:lang w:val="fr-FR"/>
        </w:rPr>
        <w:t>vait fourni aux membres de la commission provinciale</w:t>
      </w:r>
      <w:r w:rsidRPr="00B70088">
        <w:rPr>
          <w:lang w:val="fr-FR"/>
        </w:rPr>
        <w:t xml:space="preserve"> de Palerme de ladite association des informations confidentielles concernant les investigations et </w:t>
      </w:r>
      <w:r w:rsidR="0056003F">
        <w:rPr>
          <w:lang w:val="fr-FR"/>
        </w:rPr>
        <w:t xml:space="preserve">les </w:t>
      </w:r>
      <w:r w:rsidRPr="00B70088">
        <w:rPr>
          <w:lang w:val="fr-FR"/>
        </w:rPr>
        <w:t xml:space="preserve">opérations de police </w:t>
      </w:r>
      <w:r w:rsidR="00866E3F">
        <w:rPr>
          <w:lang w:val="fr-FR"/>
        </w:rPr>
        <w:t xml:space="preserve">en cours </w:t>
      </w:r>
      <w:r w:rsidRPr="00B70088">
        <w:rPr>
          <w:lang w:val="fr-FR"/>
        </w:rPr>
        <w:t xml:space="preserve">dont </w:t>
      </w:r>
      <w:r>
        <w:rPr>
          <w:lang w:val="fr-FR"/>
        </w:rPr>
        <w:t>l</w:t>
      </w:r>
      <w:r w:rsidRPr="00B70088">
        <w:rPr>
          <w:lang w:val="fr-FR"/>
        </w:rPr>
        <w:t>es</w:t>
      </w:r>
      <w:r>
        <w:rPr>
          <w:lang w:val="fr-FR"/>
        </w:rPr>
        <w:t>dits membres</w:t>
      </w:r>
      <w:r w:rsidRPr="00B70088">
        <w:rPr>
          <w:lang w:val="fr-FR"/>
        </w:rPr>
        <w:t>, ainsi que d</w:t>
      </w:r>
      <w:r w:rsidR="00A14196">
        <w:rPr>
          <w:lang w:val="fr-FR"/>
        </w:rPr>
        <w:t>’</w:t>
      </w:r>
      <w:r w:rsidRPr="00B70088">
        <w:rPr>
          <w:lang w:val="fr-FR"/>
        </w:rPr>
        <w:t xml:space="preserve">autres </w:t>
      </w:r>
      <w:r>
        <w:rPr>
          <w:lang w:val="fr-FR"/>
        </w:rPr>
        <w:t>personnes faisant partie</w:t>
      </w:r>
      <w:r w:rsidRPr="00B70088">
        <w:rPr>
          <w:lang w:val="fr-FR"/>
        </w:rPr>
        <w:t xml:space="preserve"> de l</w:t>
      </w:r>
      <w:r w:rsidR="00A14196">
        <w:rPr>
          <w:lang w:val="fr-FR"/>
        </w:rPr>
        <w:t>’</w:t>
      </w:r>
      <w:r w:rsidRPr="00B70088">
        <w:rPr>
          <w:lang w:val="fr-FR"/>
        </w:rPr>
        <w:t>association en question, faisaient l</w:t>
      </w:r>
      <w:r w:rsidR="00A14196">
        <w:rPr>
          <w:lang w:val="fr-FR"/>
        </w:rPr>
        <w:t>’</w:t>
      </w:r>
      <w:r w:rsidRPr="00B70088">
        <w:rPr>
          <w:lang w:val="fr-FR"/>
        </w:rPr>
        <w:t>objet.</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7</w:t>
      </w:r>
      <w:r>
        <w:rPr>
          <w:lang w:val="fr-FR"/>
        </w:rPr>
        <w:fldChar w:fldCharType="end"/>
      </w:r>
      <w:r>
        <w:rPr>
          <w:lang w:val="fr-FR"/>
        </w:rPr>
        <w:t>.  </w:t>
      </w:r>
      <w:r w:rsidRPr="00B70088">
        <w:rPr>
          <w:lang w:val="fr-FR"/>
        </w:rPr>
        <w:t>Le tribunal fonda son jugement sur l</w:t>
      </w:r>
      <w:r w:rsidR="00A14196">
        <w:rPr>
          <w:lang w:val="fr-FR"/>
        </w:rPr>
        <w:t>’</w:t>
      </w:r>
      <w:r w:rsidRPr="00B70088">
        <w:rPr>
          <w:lang w:val="fr-FR"/>
        </w:rPr>
        <w:t>examen d</w:t>
      </w:r>
      <w:r w:rsidR="00A14196">
        <w:rPr>
          <w:lang w:val="fr-FR"/>
        </w:rPr>
        <w:t>’</w:t>
      </w:r>
      <w:r w:rsidRPr="00B70088">
        <w:rPr>
          <w:lang w:val="fr-FR"/>
        </w:rPr>
        <w:t xml:space="preserve">un nombre important de témoignages et de documents </w:t>
      </w:r>
      <w:r w:rsidR="00213941">
        <w:rPr>
          <w:lang w:val="fr-FR"/>
        </w:rPr>
        <w:t>ainsi que</w:t>
      </w:r>
      <w:r w:rsidRPr="00B70088">
        <w:rPr>
          <w:lang w:val="fr-FR"/>
        </w:rPr>
        <w:t xml:space="preserve"> sur les informations fournies par plusieur</w:t>
      </w:r>
      <w:r w:rsidR="00E664EF">
        <w:rPr>
          <w:lang w:val="fr-FR"/>
        </w:rPr>
        <w:t>s repentis, anciens membres de</w:t>
      </w:r>
      <w:r w:rsidRPr="00B70088">
        <w:rPr>
          <w:lang w:val="fr-FR"/>
        </w:rPr>
        <w:t xml:space="preserve"> « </w:t>
      </w:r>
      <w:r>
        <w:rPr>
          <w:i/>
          <w:lang w:val="fr-FR"/>
        </w:rPr>
        <w:t>C</w:t>
      </w:r>
      <w:r w:rsidRPr="00B70088">
        <w:rPr>
          <w:i/>
          <w:lang w:val="fr-FR"/>
        </w:rPr>
        <w:t>osa nostra</w:t>
      </w:r>
      <w:r w:rsidRPr="00B70088">
        <w:rPr>
          <w:lang w:val="fr-FR"/>
        </w:rPr>
        <w:t> ».</w:t>
      </w:r>
      <w:r>
        <w:rPr>
          <w:lang w:val="fr-FR"/>
        </w:rPr>
        <w:t xml:space="preserve"> Les parties pertinentes du jugement en cause sont reportées ci-dessous :</w:t>
      </w:r>
    </w:p>
    <w:p w:rsidR="00F66B50" w:rsidRDefault="00F66B50" w:rsidP="00F66B50">
      <w:pPr>
        <w:pStyle w:val="ECHRParaQuote"/>
        <w:rPr>
          <w:lang w:val="fr-FR"/>
        </w:rPr>
      </w:pPr>
      <w:r>
        <w:rPr>
          <w:lang w:val="fr-FR"/>
        </w:rPr>
        <w:t xml:space="preserve">« Sur </w:t>
      </w:r>
      <w:r w:rsidR="00866E3F">
        <w:rPr>
          <w:lang w:val="fr-FR"/>
        </w:rPr>
        <w:t>la question</w:t>
      </w:r>
      <w:r>
        <w:rPr>
          <w:lang w:val="fr-FR"/>
        </w:rPr>
        <w:t xml:space="preserve"> [de l</w:t>
      </w:r>
      <w:r w:rsidR="00A14196">
        <w:rPr>
          <w:lang w:val="fr-FR"/>
        </w:rPr>
        <w:t>’</w:t>
      </w:r>
      <w:r>
        <w:rPr>
          <w:lang w:val="fr-FR"/>
        </w:rPr>
        <w:t>existence de l</w:t>
      </w:r>
      <w:r w:rsidR="00A14196">
        <w:rPr>
          <w:lang w:val="fr-FR"/>
        </w:rPr>
        <w:t>’</w:t>
      </w:r>
      <w:r>
        <w:rPr>
          <w:lang w:val="fr-FR"/>
        </w:rPr>
        <w:t xml:space="preserve">infraction </w:t>
      </w:r>
      <w:r w:rsidR="008B7DCF">
        <w:rPr>
          <w:lang w:val="fr-FR"/>
        </w:rPr>
        <w:t>de concours éventuel</w:t>
      </w:r>
      <w:r w:rsidR="001C3389" w:rsidRPr="001C3389">
        <w:rPr>
          <w:lang w:val="fr-FR"/>
        </w:rPr>
        <w:t xml:space="preserve"> </w:t>
      </w:r>
      <w:r w:rsidR="001C3389">
        <w:rPr>
          <w:lang w:val="fr-FR"/>
        </w:rPr>
        <w:t xml:space="preserve">en association </w:t>
      </w:r>
      <w:r w:rsidR="00C342A8">
        <w:rPr>
          <w:lang w:val="fr-FR"/>
        </w:rPr>
        <w:t>de type mafieux</w:t>
      </w:r>
      <w:r w:rsidR="00111CAE">
        <w:rPr>
          <w:lang w:val="fr-FR"/>
        </w:rPr>
        <w:t xml:space="preserve">, </w:t>
      </w:r>
      <w:r w:rsidR="00AD1049">
        <w:rPr>
          <w:lang w:val="fr-FR"/>
        </w:rPr>
        <w:t xml:space="preserve">commise </w:t>
      </w:r>
      <w:r w:rsidR="00111CAE">
        <w:rPr>
          <w:lang w:val="fr-FR"/>
        </w:rPr>
        <w:t>donc</w:t>
      </w:r>
      <w:r w:rsidR="00AD1049">
        <w:rPr>
          <w:lang w:val="fr-FR"/>
        </w:rPr>
        <w:t xml:space="preserve"> par</w:t>
      </w:r>
      <w:r w:rsidR="00111CAE">
        <w:rPr>
          <w:lang w:val="fr-FR"/>
        </w:rPr>
        <w:t xml:space="preserve"> de</w:t>
      </w:r>
      <w:r w:rsidR="00AD1049">
        <w:rPr>
          <w:lang w:val="fr-FR"/>
        </w:rPr>
        <w:t>s</w:t>
      </w:r>
      <w:r w:rsidR="00111CAE">
        <w:rPr>
          <w:lang w:val="fr-FR"/>
        </w:rPr>
        <w:t xml:space="preserve"> sujets tiers, différents des c</w:t>
      </w:r>
      <w:r w:rsidR="001C3389">
        <w:rPr>
          <w:lang w:val="fr-FR"/>
        </w:rPr>
        <w:t>oncurrents dits « nécessaires »</w:t>
      </w:r>
      <w:r>
        <w:rPr>
          <w:lang w:val="fr-FR"/>
        </w:rPr>
        <w:t xml:space="preserve">] </w:t>
      </w:r>
      <w:r w:rsidR="005C6C45">
        <w:rPr>
          <w:lang w:val="fr-FR"/>
        </w:rPr>
        <w:t>plusieurs</w:t>
      </w:r>
      <w:r>
        <w:rPr>
          <w:lang w:val="fr-FR"/>
        </w:rPr>
        <w:t xml:space="preserve"> approches ont existé. Celles-ci peuvent être </w:t>
      </w:r>
      <w:r w:rsidR="001C3389">
        <w:rPr>
          <w:lang w:val="fr-FR"/>
        </w:rPr>
        <w:t>regroupées</w:t>
      </w:r>
      <w:r>
        <w:rPr>
          <w:lang w:val="fr-FR"/>
        </w:rPr>
        <w:t xml:space="preserve"> </w:t>
      </w:r>
      <w:r w:rsidR="003D4AF0">
        <w:rPr>
          <w:lang w:val="fr-FR"/>
        </w:rPr>
        <w:t>en trois catégories</w:t>
      </w:r>
      <w:r w:rsidR="00095783">
        <w:rPr>
          <w:lang w:val="fr-FR"/>
        </w:rPr>
        <w:t> </w:t>
      </w:r>
      <w:r>
        <w:rPr>
          <w:lang w:val="fr-FR"/>
        </w:rPr>
        <w:t>:</w:t>
      </w:r>
    </w:p>
    <w:p w:rsidR="00F66B50" w:rsidRDefault="00F66B50" w:rsidP="00F66B50">
      <w:pPr>
        <w:pStyle w:val="ECHRParaQuote"/>
        <w:rPr>
          <w:lang w:val="fr-FR"/>
        </w:rPr>
      </w:pPr>
      <w:r>
        <w:rPr>
          <w:lang w:val="fr-FR"/>
        </w:rPr>
        <w:t>1) [l</w:t>
      </w:r>
      <w:r w:rsidR="00A14196">
        <w:rPr>
          <w:lang w:val="fr-FR"/>
        </w:rPr>
        <w:t>’</w:t>
      </w:r>
      <w:r>
        <w:rPr>
          <w:lang w:val="fr-FR"/>
        </w:rPr>
        <w:t>approche] de ceux qui nient avec fermeté l</w:t>
      </w:r>
      <w:r w:rsidR="00A14196">
        <w:rPr>
          <w:lang w:val="fr-FR"/>
        </w:rPr>
        <w:t>’</w:t>
      </w:r>
      <w:r>
        <w:rPr>
          <w:lang w:val="fr-FR"/>
        </w:rPr>
        <w:t>existence</w:t>
      </w:r>
      <w:r w:rsidR="00866E3F">
        <w:rPr>
          <w:lang w:val="fr-FR"/>
        </w:rPr>
        <w:t>,</w:t>
      </w:r>
      <w:r>
        <w:rPr>
          <w:lang w:val="fr-FR"/>
        </w:rPr>
        <w:t xml:space="preserve"> dans notre système du concours externe en association </w:t>
      </w:r>
      <w:r w:rsidR="00C342A8">
        <w:rPr>
          <w:lang w:val="fr-FR"/>
        </w:rPr>
        <w:t>de type mafieux</w:t>
      </w:r>
      <w:r>
        <w:rPr>
          <w:lang w:val="fr-FR"/>
        </w:rPr>
        <w:t>, alléguant que l</w:t>
      </w:r>
      <w:r w:rsidR="00A14196">
        <w:rPr>
          <w:lang w:val="fr-FR"/>
        </w:rPr>
        <w:t>’</w:t>
      </w:r>
      <w:r>
        <w:rPr>
          <w:lang w:val="fr-FR"/>
        </w:rPr>
        <w:t>extension injustifiée du domaine d</w:t>
      </w:r>
      <w:r w:rsidR="00A14196">
        <w:rPr>
          <w:lang w:val="fr-FR"/>
        </w:rPr>
        <w:t>’</w:t>
      </w:r>
      <w:r>
        <w:rPr>
          <w:lang w:val="fr-FR"/>
        </w:rPr>
        <w:t>application de l</w:t>
      </w:r>
      <w:r w:rsidR="00A14196">
        <w:rPr>
          <w:lang w:val="fr-FR"/>
        </w:rPr>
        <w:t>’</w:t>
      </w:r>
      <w:r>
        <w:rPr>
          <w:lang w:val="fr-FR"/>
        </w:rPr>
        <w:t>infraction d</w:t>
      </w:r>
      <w:r w:rsidR="00A14196">
        <w:rPr>
          <w:lang w:val="fr-FR"/>
        </w:rPr>
        <w:t>’</w:t>
      </w:r>
      <w:r>
        <w:rPr>
          <w:lang w:val="fr-FR"/>
        </w:rPr>
        <w:t xml:space="preserve">association comporterait la violation des principes de légalité, de la prévision législative </w:t>
      </w:r>
      <w:r w:rsidR="00866E3F">
        <w:rPr>
          <w:lang w:val="fr-FR"/>
        </w:rPr>
        <w:t>exhaustive</w:t>
      </w:r>
      <w:r>
        <w:rPr>
          <w:lang w:val="fr-FR"/>
        </w:rPr>
        <w:t xml:space="preserve"> des situations dans lesquelles la norme pénale trouve application (</w:t>
      </w:r>
      <w:r w:rsidRPr="00B56EDA">
        <w:rPr>
          <w:i/>
          <w:lang w:val="fr-FR"/>
        </w:rPr>
        <w:t>principio di tassatività</w:t>
      </w:r>
      <w:r>
        <w:rPr>
          <w:lang w:val="fr-FR"/>
        </w:rPr>
        <w:t xml:space="preserve">) et [du principe] de détermination nécessaire des </w:t>
      </w:r>
      <w:r w:rsidR="000C2A75">
        <w:rPr>
          <w:lang w:val="fr-FR"/>
        </w:rPr>
        <w:t>catégories</w:t>
      </w:r>
      <w:r w:rsidR="00E664EF">
        <w:rPr>
          <w:lang w:val="fr-FR"/>
        </w:rPr>
        <w:t xml:space="preserve"> </w:t>
      </w:r>
      <w:r>
        <w:rPr>
          <w:lang w:val="fr-FR"/>
        </w:rPr>
        <w:t>pénales, craignant</w:t>
      </w:r>
      <w:r w:rsidR="00866E3F">
        <w:rPr>
          <w:lang w:val="fr-FR"/>
        </w:rPr>
        <w:t>,</w:t>
      </w:r>
      <w:r>
        <w:rPr>
          <w:lang w:val="fr-FR"/>
        </w:rPr>
        <w:t xml:space="preserve"> en </w:t>
      </w:r>
      <w:r w:rsidR="00866E3F">
        <w:rPr>
          <w:lang w:val="fr-FR"/>
        </w:rPr>
        <w:t xml:space="preserve">pratique, </w:t>
      </w:r>
      <w:r>
        <w:rPr>
          <w:lang w:val="fr-FR"/>
        </w:rPr>
        <w:t xml:space="preserve">les risques </w:t>
      </w:r>
      <w:r w:rsidR="00286EB4">
        <w:rPr>
          <w:lang w:val="fr-FR"/>
        </w:rPr>
        <w:t>liés à un</w:t>
      </w:r>
      <w:r>
        <w:rPr>
          <w:lang w:val="fr-FR"/>
        </w:rPr>
        <w:t xml:space="preserve"> élargissement excessif du pouvoir discrétionnaire des juges ;</w:t>
      </w:r>
    </w:p>
    <w:p w:rsidR="00F66B50" w:rsidRDefault="00F66B50" w:rsidP="00F66B50">
      <w:pPr>
        <w:pStyle w:val="ECHRParaQuote"/>
        <w:rPr>
          <w:lang w:val="fr-FR"/>
        </w:rPr>
      </w:pPr>
      <w:r>
        <w:rPr>
          <w:lang w:val="fr-FR"/>
        </w:rPr>
        <w:t>2) [l</w:t>
      </w:r>
      <w:r w:rsidR="00A14196">
        <w:rPr>
          <w:lang w:val="fr-FR"/>
        </w:rPr>
        <w:t>’</w:t>
      </w:r>
      <w:r>
        <w:rPr>
          <w:lang w:val="fr-FR"/>
        </w:rPr>
        <w:t>approche] de ceux qui, même en admettant du point de vue du droit l</w:t>
      </w:r>
      <w:r w:rsidR="00A14196">
        <w:rPr>
          <w:lang w:val="fr-FR"/>
        </w:rPr>
        <w:t>’</w:t>
      </w:r>
      <w:r>
        <w:rPr>
          <w:lang w:val="fr-FR"/>
        </w:rPr>
        <w:t>hypothèse d</w:t>
      </w:r>
      <w:r w:rsidR="00A14196">
        <w:rPr>
          <w:lang w:val="fr-FR"/>
        </w:rPr>
        <w:t>’</w:t>
      </w:r>
      <w:r>
        <w:rPr>
          <w:lang w:val="fr-FR"/>
        </w:rPr>
        <w:t>un concours éventuel dans les infractions de type associatif, s</w:t>
      </w:r>
      <w:r w:rsidR="00A14196">
        <w:rPr>
          <w:lang w:val="fr-FR"/>
        </w:rPr>
        <w:t>’</w:t>
      </w:r>
      <w:r>
        <w:rPr>
          <w:lang w:val="fr-FR"/>
        </w:rPr>
        <w:t>efforcent d</w:t>
      </w:r>
      <w:r w:rsidR="00A14196">
        <w:rPr>
          <w:lang w:val="fr-FR"/>
        </w:rPr>
        <w:t>’</w:t>
      </w:r>
      <w:r>
        <w:rPr>
          <w:lang w:val="fr-FR"/>
        </w:rPr>
        <w:t>en délimiter le champ d</w:t>
      </w:r>
      <w:r w:rsidR="00A14196">
        <w:rPr>
          <w:lang w:val="fr-FR"/>
        </w:rPr>
        <w:t>’</w:t>
      </w:r>
      <w:r>
        <w:rPr>
          <w:lang w:val="fr-FR"/>
        </w:rPr>
        <w:t>application en soulignant aussi la fonction subsidiaire, de qualification (</w:t>
      </w:r>
      <w:r w:rsidRPr="00FB4333">
        <w:rPr>
          <w:i/>
          <w:lang w:val="fr-FR"/>
        </w:rPr>
        <w:t>qualificatrice</w:t>
      </w:r>
      <w:r>
        <w:rPr>
          <w:lang w:val="fr-FR"/>
        </w:rPr>
        <w:t xml:space="preserve">) et de sanction propre à des </w:t>
      </w:r>
      <w:r w:rsidR="0055601A">
        <w:rPr>
          <w:lang w:val="fr-FR"/>
        </w:rPr>
        <w:t>agissements</w:t>
      </w:r>
      <w:r>
        <w:rPr>
          <w:lang w:val="fr-FR"/>
        </w:rPr>
        <w:t xml:space="preserve"> qui s</w:t>
      </w:r>
      <w:r w:rsidR="00A14196">
        <w:rPr>
          <w:lang w:val="fr-FR"/>
        </w:rPr>
        <w:t>’</w:t>
      </w:r>
      <w:r>
        <w:rPr>
          <w:lang w:val="fr-FR"/>
        </w:rPr>
        <w:t>approchent d</w:t>
      </w:r>
      <w:r w:rsidR="00A14196">
        <w:rPr>
          <w:lang w:val="fr-FR"/>
        </w:rPr>
        <w:t>’</w:t>
      </w:r>
      <w:r>
        <w:rPr>
          <w:lang w:val="fr-FR"/>
        </w:rPr>
        <w:t>autres catégories délictueuses (par exemple, la connivence et l</w:t>
      </w:r>
      <w:r w:rsidR="00A14196">
        <w:rPr>
          <w:lang w:val="fr-FR"/>
        </w:rPr>
        <w:t>’</w:t>
      </w:r>
      <w:r>
        <w:rPr>
          <w:lang w:val="fr-FR"/>
        </w:rPr>
        <w:t>assistance) ;</w:t>
      </w:r>
    </w:p>
    <w:p w:rsidR="00F66B50" w:rsidRDefault="00F66B50" w:rsidP="00F66B50">
      <w:pPr>
        <w:pStyle w:val="ECHRParaQuote"/>
        <w:rPr>
          <w:lang w:val="fr-FR"/>
        </w:rPr>
      </w:pPr>
      <w:r>
        <w:rPr>
          <w:lang w:val="fr-FR"/>
        </w:rPr>
        <w:t>3) [l</w:t>
      </w:r>
      <w:r w:rsidR="00A14196">
        <w:rPr>
          <w:lang w:val="fr-FR"/>
        </w:rPr>
        <w:t>’</w:t>
      </w:r>
      <w:r>
        <w:rPr>
          <w:lang w:val="fr-FR"/>
        </w:rPr>
        <w:t>approche] de ceux qui admettent l</w:t>
      </w:r>
      <w:r w:rsidR="00A14196">
        <w:rPr>
          <w:lang w:val="fr-FR"/>
        </w:rPr>
        <w:t>’</w:t>
      </w:r>
      <w:r>
        <w:rPr>
          <w:lang w:val="fr-FR"/>
        </w:rPr>
        <w:t>existence</w:t>
      </w:r>
      <w:r w:rsidR="00866E3F">
        <w:rPr>
          <w:lang w:val="fr-FR"/>
        </w:rPr>
        <w:t>,</w:t>
      </w:r>
      <w:r>
        <w:rPr>
          <w:lang w:val="fr-FR"/>
        </w:rPr>
        <w:t xml:space="preserve"> dans notre système</w:t>
      </w:r>
      <w:r w:rsidR="00866E3F">
        <w:rPr>
          <w:lang w:val="fr-FR"/>
        </w:rPr>
        <w:t>,</w:t>
      </w:r>
      <w:r>
        <w:rPr>
          <w:lang w:val="fr-FR"/>
        </w:rPr>
        <w:t xml:space="preserve"> du concours externe en association </w:t>
      </w:r>
      <w:r w:rsidR="00C342A8">
        <w:rPr>
          <w:lang w:val="fr-FR"/>
        </w:rPr>
        <w:t>de type mafieux</w:t>
      </w:r>
      <w:r>
        <w:rPr>
          <w:lang w:val="fr-FR"/>
        </w:rPr>
        <w:t xml:space="preserve">, en supposant que la </w:t>
      </w:r>
      <w:r w:rsidR="00866E3F">
        <w:rPr>
          <w:lang w:val="fr-FR"/>
        </w:rPr>
        <w:t>règle</w:t>
      </w:r>
      <w:r>
        <w:rPr>
          <w:lang w:val="fr-FR"/>
        </w:rPr>
        <w:t xml:space="preserve"> prévue par les articles 110 et suivant</w:t>
      </w:r>
      <w:r w:rsidR="002A302F">
        <w:rPr>
          <w:lang w:val="fr-FR"/>
        </w:rPr>
        <w:t>s</w:t>
      </w:r>
      <w:r>
        <w:rPr>
          <w:lang w:val="fr-FR"/>
        </w:rPr>
        <w:t xml:space="preserve"> du code pénal (</w:t>
      </w:r>
      <w:r w:rsidR="00E40263">
        <w:rPr>
          <w:lang w:val="fr-FR"/>
        </w:rPr>
        <w:t>...</w:t>
      </w:r>
      <w:r>
        <w:rPr>
          <w:lang w:val="fr-FR"/>
        </w:rPr>
        <w:t>) est applicable également aux cas d</w:t>
      </w:r>
      <w:r w:rsidR="00A14196">
        <w:rPr>
          <w:lang w:val="fr-FR"/>
        </w:rPr>
        <w:t>’</w:t>
      </w:r>
      <w:r>
        <w:rPr>
          <w:lang w:val="fr-FR"/>
        </w:rPr>
        <w:t xml:space="preserve">infraction associative, </w:t>
      </w:r>
      <w:r w:rsidR="00866E3F">
        <w:rPr>
          <w:lang w:val="fr-FR"/>
        </w:rPr>
        <w:t xml:space="preserve">mettant ainsi en avant </w:t>
      </w:r>
      <w:r>
        <w:rPr>
          <w:lang w:val="fr-FR"/>
        </w:rPr>
        <w:t xml:space="preserve">la capacité </w:t>
      </w:r>
      <w:r w:rsidR="00373411">
        <w:rPr>
          <w:lang w:val="fr-FR"/>
        </w:rPr>
        <w:t xml:space="preserve">inhérente à une </w:t>
      </w:r>
      <w:r>
        <w:rPr>
          <w:lang w:val="fr-FR"/>
        </w:rPr>
        <w:t xml:space="preserve">telle approche </w:t>
      </w:r>
      <w:r w:rsidR="00E73A0C">
        <w:rPr>
          <w:lang w:val="fr-FR"/>
        </w:rPr>
        <w:t>interprétative</w:t>
      </w:r>
      <w:r>
        <w:rPr>
          <w:lang w:val="fr-FR"/>
        </w:rPr>
        <w:t xml:space="preserve"> de satisfaire les inéluctab</w:t>
      </w:r>
      <w:r w:rsidR="000C2A75">
        <w:rPr>
          <w:lang w:val="fr-FR"/>
        </w:rPr>
        <w:t xml:space="preserve">les exigences politiques et </w:t>
      </w:r>
      <w:r>
        <w:rPr>
          <w:lang w:val="fr-FR"/>
        </w:rPr>
        <w:t>cr</w:t>
      </w:r>
      <w:r w:rsidR="00286EB4">
        <w:rPr>
          <w:lang w:val="fr-FR"/>
        </w:rPr>
        <w:t>iminelles de défense sociale. »</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w:t>
      </w:r>
      <w:r>
        <w:rPr>
          <w:lang w:val="fr-FR"/>
        </w:rPr>
        <w:fldChar w:fldCharType="end"/>
      </w:r>
      <w:r>
        <w:rPr>
          <w:lang w:val="fr-FR"/>
        </w:rPr>
        <w:t>.  Le tribunal releva ensuite :</w:t>
      </w:r>
    </w:p>
    <w:p w:rsidR="00F66B50" w:rsidRDefault="00F66B50" w:rsidP="00F66B50">
      <w:pPr>
        <w:pStyle w:val="ECHRParaQuote"/>
        <w:rPr>
          <w:lang w:val="fr-FR"/>
        </w:rPr>
      </w:pPr>
      <w:r>
        <w:rPr>
          <w:lang w:val="fr-FR"/>
        </w:rPr>
        <w:t>« Certainement</w:t>
      </w:r>
      <w:r w:rsidR="00BF1DC7">
        <w:rPr>
          <w:lang w:val="fr-FR"/>
        </w:rPr>
        <w:t>,</w:t>
      </w:r>
      <w:r>
        <w:rPr>
          <w:lang w:val="fr-FR"/>
        </w:rPr>
        <w:t xml:space="preserve"> le domaine des relations entre individus appartenant au secteur de la politique, de l</w:t>
      </w:r>
      <w:r w:rsidR="00A14196">
        <w:rPr>
          <w:lang w:val="fr-FR"/>
        </w:rPr>
        <w:t>’</w:t>
      </w:r>
      <w:r>
        <w:rPr>
          <w:lang w:val="fr-FR"/>
        </w:rPr>
        <w:t>administration, de l</w:t>
      </w:r>
      <w:r w:rsidR="00A14196">
        <w:rPr>
          <w:lang w:val="fr-FR"/>
        </w:rPr>
        <w:t>’</w:t>
      </w:r>
      <w:r>
        <w:rPr>
          <w:lang w:val="fr-FR"/>
        </w:rPr>
        <w:t>entreprise, des professions, de la magistrature, de la finance</w:t>
      </w:r>
      <w:r w:rsidR="00E40263">
        <w:rPr>
          <w:lang w:val="fr-FR"/>
        </w:rPr>
        <w:t>...</w:t>
      </w:r>
      <w:r>
        <w:rPr>
          <w:lang w:val="fr-FR"/>
        </w:rPr>
        <w:t>, avec l</w:t>
      </w:r>
      <w:r w:rsidR="00A14196">
        <w:rPr>
          <w:lang w:val="fr-FR"/>
        </w:rPr>
        <w:t>’</w:t>
      </w:r>
      <w:r w:rsidR="000C2A75">
        <w:rPr>
          <w:lang w:val="fr-FR"/>
        </w:rPr>
        <w:t>organisation mafieuse, lorsqu</w:t>
      </w:r>
      <w:r w:rsidR="00A14196">
        <w:rPr>
          <w:lang w:val="fr-FR"/>
        </w:rPr>
        <w:t>’</w:t>
      </w:r>
      <w:r w:rsidR="000C2A75">
        <w:rPr>
          <w:lang w:val="fr-FR"/>
        </w:rPr>
        <w:t xml:space="preserve">il </w:t>
      </w:r>
      <w:r w:rsidR="00286EB4">
        <w:rPr>
          <w:lang w:val="fr-FR"/>
        </w:rPr>
        <w:t>ne se concrétise pas</w:t>
      </w:r>
      <w:r>
        <w:rPr>
          <w:lang w:val="fr-FR"/>
        </w:rPr>
        <w:t xml:space="preserve"> en une réelle </w:t>
      </w:r>
      <w:r>
        <w:rPr>
          <w:lang w:val="fr-FR"/>
        </w:rPr>
        <w:lastRenderedPageBreak/>
        <w:t xml:space="preserve">intégration dans la structure criminelle mentionnée ci-dessus, est celui qui se prête le mieux à être ramené à </w:t>
      </w:r>
      <w:r w:rsidR="00B5509D">
        <w:rPr>
          <w:lang w:val="fr-FR"/>
        </w:rPr>
        <w:t>la catégorie</w:t>
      </w:r>
      <w:r>
        <w:rPr>
          <w:lang w:val="fr-FR"/>
        </w:rPr>
        <w:t xml:space="preserve"> de concours externe.</w:t>
      </w:r>
    </w:p>
    <w:p w:rsidR="005D44BD" w:rsidRDefault="00CE1570" w:rsidP="00F66B50">
      <w:pPr>
        <w:pStyle w:val="ECHRParaQuote"/>
        <w:rPr>
          <w:lang w:val="fr-FR"/>
        </w:rPr>
      </w:pPr>
      <w:r>
        <w:rPr>
          <w:lang w:val="fr-FR"/>
        </w:rPr>
        <w:t xml:space="preserve">[Cette </w:t>
      </w:r>
      <w:r w:rsidR="005E3786">
        <w:rPr>
          <w:lang w:val="fr-FR"/>
        </w:rPr>
        <w:t>catégorie</w:t>
      </w:r>
      <w:r>
        <w:rPr>
          <w:lang w:val="fr-FR"/>
        </w:rPr>
        <w:t>]</w:t>
      </w:r>
      <w:r w:rsidR="00286EB4">
        <w:rPr>
          <w:lang w:val="fr-FR"/>
        </w:rPr>
        <w:t>, même s</w:t>
      </w:r>
      <w:r w:rsidR="00E73A0C">
        <w:rPr>
          <w:lang w:val="fr-FR"/>
        </w:rPr>
        <w:t xml:space="preserve">i </w:t>
      </w:r>
      <w:r>
        <w:rPr>
          <w:lang w:val="fr-FR"/>
        </w:rPr>
        <w:t>elle</w:t>
      </w:r>
      <w:r w:rsidR="00286EB4">
        <w:rPr>
          <w:lang w:val="fr-FR"/>
        </w:rPr>
        <w:t xml:space="preserve"> doit</w:t>
      </w:r>
      <w:r w:rsidR="00F66B50">
        <w:rPr>
          <w:lang w:val="fr-FR"/>
        </w:rPr>
        <w:t xml:space="preserve"> être </w:t>
      </w:r>
      <w:r w:rsidR="00E73A0C">
        <w:rPr>
          <w:lang w:val="fr-FR"/>
        </w:rPr>
        <w:t>adoptée</w:t>
      </w:r>
      <w:r w:rsidR="005E3786">
        <w:rPr>
          <w:lang w:val="fr-FR"/>
        </w:rPr>
        <w:t xml:space="preserve"> </w:t>
      </w:r>
      <w:r w:rsidR="00F66B50">
        <w:rPr>
          <w:lang w:val="fr-FR"/>
        </w:rPr>
        <w:t xml:space="preserve">de la part du juge de manière prudente, se </w:t>
      </w:r>
      <w:r w:rsidR="00286EB4">
        <w:rPr>
          <w:lang w:val="fr-FR"/>
        </w:rPr>
        <w:t>caractérise certainement par son efficacité</w:t>
      </w:r>
      <w:r w:rsidR="00F66B50">
        <w:rPr>
          <w:lang w:val="fr-FR"/>
        </w:rPr>
        <w:t xml:space="preserve"> vis-à-vis de la répression des formes de collusion lesquelles, autant dangereuses que sournoises et insidieuses, apparaissent d</w:t>
      </w:r>
      <w:r w:rsidR="00A14196">
        <w:rPr>
          <w:lang w:val="fr-FR"/>
        </w:rPr>
        <w:t>’</w:t>
      </w:r>
      <w:r w:rsidR="00F66B50">
        <w:rPr>
          <w:lang w:val="fr-FR"/>
        </w:rPr>
        <w:t>autant plus déplorables et symptomatiques de la capacité élevée d</w:t>
      </w:r>
      <w:r w:rsidR="00A14196">
        <w:rPr>
          <w:lang w:val="fr-FR"/>
        </w:rPr>
        <w:t>’</w:t>
      </w:r>
      <w:r w:rsidR="00F66B50">
        <w:rPr>
          <w:lang w:val="fr-FR"/>
        </w:rPr>
        <w:t xml:space="preserve">infiltration de la mafia dans le tissu de la société civile et partant en mesure de montrer la charge subversive puissante de </w:t>
      </w:r>
      <w:r w:rsidR="00C363E1">
        <w:rPr>
          <w:lang w:val="fr-FR"/>
        </w:rPr>
        <w:t>cette</w:t>
      </w:r>
      <w:r w:rsidR="00F66B50">
        <w:rPr>
          <w:lang w:val="fr-FR"/>
        </w:rPr>
        <w:t xml:space="preserve"> réalité criminelle »</w:t>
      </w:r>
    </w:p>
    <w:p w:rsidR="00F66B50" w:rsidRPr="00B70088" w:rsidRDefault="00183F4C" w:rsidP="00183F4C">
      <w:pPr>
        <w:pStyle w:val="ECHRHeading2"/>
        <w:rPr>
          <w:lang w:val="fr-FR"/>
        </w:rPr>
      </w:pPr>
      <w:r>
        <w:rPr>
          <w:lang w:val="fr-FR"/>
        </w:rPr>
        <w:t>B</w:t>
      </w:r>
      <w:r w:rsidR="00F66B50" w:rsidRPr="00B70088">
        <w:rPr>
          <w:lang w:val="fr-FR"/>
        </w:rPr>
        <w:t>.</w:t>
      </w:r>
      <w:r>
        <w:rPr>
          <w:lang w:val="fr-FR"/>
        </w:rPr>
        <w:t>  </w:t>
      </w:r>
      <w:r w:rsidR="00F66B50" w:rsidRPr="00B70088">
        <w:rPr>
          <w:lang w:val="fr-FR"/>
        </w:rPr>
        <w:t>La procédure en appel devant la cour d</w:t>
      </w:r>
      <w:r w:rsidR="00A14196">
        <w:rPr>
          <w:lang w:val="fr-FR"/>
        </w:rPr>
        <w:t>’</w:t>
      </w:r>
      <w:r w:rsidR="00F66B50" w:rsidRPr="00B70088">
        <w:rPr>
          <w:lang w:val="fr-FR"/>
        </w:rPr>
        <w:t>appel de Palerme</w:t>
      </w:r>
    </w:p>
    <w:p w:rsidR="005D44BD"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9</w:t>
      </w:r>
      <w:r>
        <w:rPr>
          <w:lang w:val="fr-FR"/>
        </w:rPr>
        <w:fldChar w:fldCharType="end"/>
      </w:r>
      <w:r>
        <w:rPr>
          <w:lang w:val="fr-FR"/>
        </w:rPr>
        <w:t xml:space="preserve">.  Le </w:t>
      </w:r>
      <w:r w:rsidR="006D39DB">
        <w:rPr>
          <w:lang w:val="fr-FR"/>
        </w:rPr>
        <w:t>1</w:t>
      </w:r>
      <w:r w:rsidR="006D39DB" w:rsidRPr="006D39DB">
        <w:rPr>
          <w:vertAlign w:val="superscript"/>
          <w:lang w:val="fr-FR"/>
        </w:rPr>
        <w:t>er</w:t>
      </w:r>
      <w:r w:rsidR="006D39DB">
        <w:rPr>
          <w:lang w:val="fr-FR"/>
        </w:rPr>
        <w:t xml:space="preserve"> janvier 1997, le </w:t>
      </w:r>
      <w:r>
        <w:rPr>
          <w:lang w:val="fr-FR"/>
        </w:rPr>
        <w:t>requérant</w:t>
      </w:r>
      <w:r w:rsidR="006D39DB">
        <w:rPr>
          <w:lang w:val="fr-FR"/>
        </w:rPr>
        <w:t xml:space="preserve"> interjeta appel. L</w:t>
      </w:r>
      <w:r w:rsidRPr="00B70088">
        <w:rPr>
          <w:lang w:val="fr-FR"/>
        </w:rPr>
        <w:t>e ministère public</w:t>
      </w:r>
      <w:r>
        <w:rPr>
          <w:lang w:val="fr-FR"/>
        </w:rPr>
        <w:t xml:space="preserve"> </w:t>
      </w:r>
      <w:r w:rsidR="006D39DB">
        <w:rPr>
          <w:lang w:val="fr-FR"/>
        </w:rPr>
        <w:t>saisit à son tour la cour d</w:t>
      </w:r>
      <w:r w:rsidR="00A14196">
        <w:rPr>
          <w:lang w:val="fr-FR"/>
        </w:rPr>
        <w:t>’</w:t>
      </w:r>
      <w:r w:rsidR="006D39DB">
        <w:rPr>
          <w:lang w:val="fr-FR"/>
        </w:rPr>
        <w:t>appel d</w:t>
      </w:r>
      <w:r w:rsidR="00A14196">
        <w:rPr>
          <w:lang w:val="fr-FR"/>
        </w:rPr>
        <w:t>’</w:t>
      </w:r>
      <w:r w:rsidR="006D39DB">
        <w:rPr>
          <w:lang w:val="fr-FR"/>
        </w:rPr>
        <w:t xml:space="preserve">un recours </w:t>
      </w:r>
      <w:r>
        <w:rPr>
          <w:lang w:val="fr-FR"/>
        </w:rPr>
        <w:t xml:space="preserve">afin </w:t>
      </w:r>
      <w:r w:rsidR="00AB234C">
        <w:rPr>
          <w:lang w:val="fr-FR"/>
        </w:rPr>
        <w:t>d</w:t>
      </w:r>
      <w:r w:rsidR="00A14196">
        <w:rPr>
          <w:lang w:val="fr-FR"/>
        </w:rPr>
        <w:t>’</w:t>
      </w:r>
      <w:r w:rsidR="00AB234C">
        <w:rPr>
          <w:lang w:val="fr-FR"/>
        </w:rPr>
        <w:t>obtenir la condamnation du requérant à une peine plus lourde</w:t>
      </w:r>
      <w:r>
        <w:rPr>
          <w:lang w:val="fr-FR"/>
        </w:rPr>
        <w:t>.</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10</w:t>
      </w:r>
      <w:r>
        <w:rPr>
          <w:lang w:val="fr-FR"/>
        </w:rPr>
        <w:fldChar w:fldCharType="end"/>
      </w:r>
      <w:r>
        <w:rPr>
          <w:lang w:val="fr-FR"/>
        </w:rPr>
        <w:t xml:space="preserve">.  Le requérant fit valoir le principe de la « prévision législative </w:t>
      </w:r>
      <w:r w:rsidR="00D509D0">
        <w:rPr>
          <w:lang w:val="fr-FR"/>
        </w:rPr>
        <w:t>exhaustive</w:t>
      </w:r>
      <w:r>
        <w:rPr>
          <w:lang w:val="fr-FR"/>
        </w:rPr>
        <w:t xml:space="preserve"> des situations dans lesquelles la norme pénale trouve application » (</w:t>
      </w:r>
      <w:r w:rsidRPr="00361A0F">
        <w:rPr>
          <w:i/>
          <w:lang w:val="fr-FR"/>
        </w:rPr>
        <w:t xml:space="preserve">principio </w:t>
      </w:r>
      <w:r>
        <w:rPr>
          <w:i/>
          <w:lang w:val="fr-FR"/>
        </w:rPr>
        <w:t xml:space="preserve">di </w:t>
      </w:r>
      <w:r w:rsidRPr="00361A0F">
        <w:rPr>
          <w:i/>
          <w:lang w:val="fr-FR"/>
        </w:rPr>
        <w:t>tassatività della norma penale</w:t>
      </w:r>
      <w:r>
        <w:rPr>
          <w:lang w:val="fr-FR"/>
        </w:rPr>
        <w:t xml:space="preserve">) en tant que corollaire du principe plus général de la non-rétroactivité de la norme pénale. </w:t>
      </w:r>
      <w:r w:rsidR="00CC7A44">
        <w:rPr>
          <w:lang w:val="fr-FR"/>
        </w:rPr>
        <w:t>Il</w:t>
      </w:r>
      <w:r>
        <w:rPr>
          <w:lang w:val="fr-FR"/>
        </w:rPr>
        <w:t xml:space="preserve"> estima notamment qu</w:t>
      </w:r>
      <w:r w:rsidR="00A14196">
        <w:rPr>
          <w:lang w:val="fr-FR"/>
        </w:rPr>
        <w:t>’</w:t>
      </w:r>
      <w:r>
        <w:rPr>
          <w:lang w:val="fr-FR"/>
        </w:rPr>
        <w:t>à l</w:t>
      </w:r>
      <w:r w:rsidR="00A14196">
        <w:rPr>
          <w:lang w:val="fr-FR"/>
        </w:rPr>
        <w:t>’</w:t>
      </w:r>
      <w:r>
        <w:rPr>
          <w:lang w:val="fr-FR"/>
        </w:rPr>
        <w:t xml:space="preserve">époque des faits </w:t>
      </w:r>
      <w:r w:rsidR="006D0505">
        <w:rPr>
          <w:lang w:val="fr-FR"/>
        </w:rPr>
        <w:t>qui lui étaient reprochés</w:t>
      </w:r>
      <w:r>
        <w:rPr>
          <w:lang w:val="fr-FR"/>
        </w:rPr>
        <w:t>, l</w:t>
      </w:r>
      <w:r w:rsidR="00AB1BDC">
        <w:rPr>
          <w:lang w:val="fr-FR"/>
        </w:rPr>
        <w:t xml:space="preserve">a catégorie de </w:t>
      </w:r>
      <w:r>
        <w:rPr>
          <w:lang w:val="fr-FR"/>
        </w:rPr>
        <w:t xml:space="preserve">concours </w:t>
      </w:r>
      <w:r w:rsidR="00C704DE">
        <w:rPr>
          <w:lang w:val="fr-FR"/>
        </w:rPr>
        <w:t xml:space="preserve">externe </w:t>
      </w:r>
      <w:r>
        <w:rPr>
          <w:lang w:val="fr-FR"/>
        </w:rPr>
        <w:t xml:space="preserve">en </w:t>
      </w:r>
      <w:r w:rsidRPr="00B70088">
        <w:rPr>
          <w:lang w:val="fr-FR"/>
        </w:rPr>
        <w:t xml:space="preserve">association </w:t>
      </w:r>
      <w:r w:rsidR="009D0080">
        <w:rPr>
          <w:lang w:val="fr-FR"/>
        </w:rPr>
        <w:t xml:space="preserve">de type mafieux </w:t>
      </w:r>
      <w:r w:rsidR="00AB1BDC">
        <w:rPr>
          <w:lang w:val="fr-FR"/>
        </w:rPr>
        <w:t>en tant qu</w:t>
      </w:r>
      <w:r w:rsidR="00A14196">
        <w:rPr>
          <w:lang w:val="fr-FR"/>
        </w:rPr>
        <w:t>’</w:t>
      </w:r>
      <w:r w:rsidR="00AB1BDC">
        <w:rPr>
          <w:lang w:val="fr-FR"/>
        </w:rPr>
        <w:t xml:space="preserve">infraction </w:t>
      </w:r>
      <w:r>
        <w:rPr>
          <w:lang w:val="fr-FR"/>
        </w:rPr>
        <w:t>n</w:t>
      </w:r>
      <w:r w:rsidR="00A14196">
        <w:rPr>
          <w:lang w:val="fr-FR"/>
        </w:rPr>
        <w:t>’</w:t>
      </w:r>
      <w:r>
        <w:rPr>
          <w:lang w:val="fr-FR"/>
        </w:rPr>
        <w:t xml:space="preserve">était pas prévisible car elle </w:t>
      </w:r>
      <w:r w:rsidR="001648D0">
        <w:rPr>
          <w:lang w:val="fr-FR"/>
        </w:rPr>
        <w:t>était le résultat</w:t>
      </w:r>
      <w:r>
        <w:rPr>
          <w:lang w:val="fr-FR"/>
        </w:rPr>
        <w:t xml:space="preserve"> d</w:t>
      </w:r>
      <w:r w:rsidR="00A14196">
        <w:rPr>
          <w:lang w:val="fr-FR"/>
        </w:rPr>
        <w:t>’</w:t>
      </w:r>
      <w:r>
        <w:rPr>
          <w:lang w:val="fr-FR"/>
        </w:rPr>
        <w:t>une évolution jurisprudentielle ultérieure.</w:t>
      </w:r>
    </w:p>
    <w:p w:rsidR="00F66B50" w:rsidRPr="00B70088"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11</w:t>
      </w:r>
      <w:r>
        <w:rPr>
          <w:lang w:val="fr-FR"/>
        </w:rPr>
        <w:fldChar w:fldCharType="end"/>
      </w:r>
      <w:r>
        <w:rPr>
          <w:lang w:val="fr-FR"/>
        </w:rPr>
        <w:t>.  P</w:t>
      </w:r>
      <w:r w:rsidRPr="00B70088">
        <w:rPr>
          <w:lang w:val="fr-FR"/>
        </w:rPr>
        <w:t>ar un arrêt du 4 mai 2001, la cour d</w:t>
      </w:r>
      <w:r w:rsidR="00A14196">
        <w:rPr>
          <w:lang w:val="fr-FR"/>
        </w:rPr>
        <w:t>’</w:t>
      </w:r>
      <w:r w:rsidRPr="00B70088">
        <w:rPr>
          <w:lang w:val="fr-FR"/>
        </w:rPr>
        <w:t xml:space="preserve">appel de Palerme acquitta le requérant </w:t>
      </w:r>
      <w:r w:rsidR="00AB1BDC" w:rsidRPr="00AB1BDC">
        <w:rPr>
          <w:rStyle w:val="sb8d990e2"/>
          <w:lang w:val="fr-FR"/>
        </w:rPr>
        <w:t xml:space="preserve">pour absence de faits délictueux </w:t>
      </w:r>
      <w:r w:rsidRPr="00B70088">
        <w:rPr>
          <w:lang w:val="fr-FR"/>
        </w:rPr>
        <w:t>(</w:t>
      </w:r>
      <w:r w:rsidRPr="00B70088">
        <w:rPr>
          <w:rStyle w:val="ju-005fpara--char"/>
          <w:i/>
          <w:iCs/>
          <w:lang w:val="fr-FR"/>
        </w:rPr>
        <w:t xml:space="preserve">perché il fatto </w:t>
      </w:r>
      <w:bookmarkStart w:id="2" w:name="HIT3"/>
      <w:bookmarkEnd w:id="2"/>
      <w:r w:rsidRPr="00B70088">
        <w:rPr>
          <w:rStyle w:val="ju-005fpara--char"/>
          <w:bCs/>
          <w:i/>
          <w:iCs/>
          <w:lang w:val="fr-FR"/>
        </w:rPr>
        <w:t>non</w:t>
      </w:r>
      <w:r w:rsidRPr="00B70088">
        <w:rPr>
          <w:rStyle w:val="ju-005fpara--char"/>
          <w:i/>
          <w:iCs/>
          <w:lang w:val="fr-FR"/>
        </w:rPr>
        <w:t xml:space="preserve"> </w:t>
      </w:r>
      <w:bookmarkStart w:id="3" w:name="HIT4"/>
      <w:bookmarkEnd w:id="3"/>
      <w:r w:rsidRPr="00B70088">
        <w:rPr>
          <w:rStyle w:val="ju-005fpara--char"/>
          <w:bCs/>
          <w:i/>
          <w:iCs/>
          <w:lang w:val="fr-FR"/>
        </w:rPr>
        <w:t>sussiste</w:t>
      </w:r>
      <w:r w:rsidRPr="00B70088">
        <w:rPr>
          <w:rStyle w:val="ju-005fpara--char"/>
          <w:bCs/>
          <w:iCs/>
          <w:lang w:val="fr-FR"/>
        </w:rPr>
        <w:t>)</w:t>
      </w:r>
      <w:r w:rsidRPr="00B70088">
        <w:rPr>
          <w:lang w:val="fr-FR"/>
        </w:rPr>
        <w:t>.</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12</w:t>
      </w:r>
      <w:r>
        <w:rPr>
          <w:lang w:val="fr-FR"/>
        </w:rPr>
        <w:fldChar w:fldCharType="end"/>
      </w:r>
      <w:r>
        <w:rPr>
          <w:lang w:val="fr-FR"/>
        </w:rPr>
        <w:t>.  </w:t>
      </w:r>
      <w:r w:rsidRPr="00B70088">
        <w:rPr>
          <w:lang w:val="fr-FR"/>
        </w:rPr>
        <w:t xml:space="preserve">Tout en soulignant plusieurs anomalies dans le comportement du requérant </w:t>
      </w:r>
      <w:r w:rsidR="00A3186D">
        <w:rPr>
          <w:lang w:val="fr-FR"/>
        </w:rPr>
        <w:t>dans</w:t>
      </w:r>
      <w:r w:rsidRPr="00B70088">
        <w:rPr>
          <w:lang w:val="fr-FR"/>
        </w:rPr>
        <w:t xml:space="preserve"> son rôle de dirigeant de la police (susceptibles de faire l</w:t>
      </w:r>
      <w:r w:rsidR="00A14196">
        <w:rPr>
          <w:lang w:val="fr-FR"/>
        </w:rPr>
        <w:t>’</w:t>
      </w:r>
      <w:r w:rsidRPr="00B70088">
        <w:rPr>
          <w:lang w:val="fr-FR"/>
        </w:rPr>
        <w:t>objet d</w:t>
      </w:r>
      <w:r w:rsidR="00A14196">
        <w:rPr>
          <w:lang w:val="fr-FR"/>
        </w:rPr>
        <w:t>’</w:t>
      </w:r>
      <w:r w:rsidRPr="00B70088">
        <w:rPr>
          <w:lang w:val="fr-FR"/>
        </w:rPr>
        <w:t>une procédure disciplinaire), la cour d</w:t>
      </w:r>
      <w:r w:rsidR="00A14196">
        <w:rPr>
          <w:lang w:val="fr-FR"/>
        </w:rPr>
        <w:t>’</w:t>
      </w:r>
      <w:r w:rsidRPr="00B70088">
        <w:rPr>
          <w:lang w:val="fr-FR"/>
        </w:rPr>
        <w:t xml:space="preserve">appel estima que les preuves </w:t>
      </w:r>
      <w:r>
        <w:rPr>
          <w:lang w:val="fr-FR"/>
        </w:rPr>
        <w:t>prises en considération</w:t>
      </w:r>
      <w:r w:rsidRPr="00B70088">
        <w:rPr>
          <w:lang w:val="fr-FR"/>
        </w:rPr>
        <w:t xml:space="preserve"> n</w:t>
      </w:r>
      <w:r w:rsidR="00A14196">
        <w:rPr>
          <w:lang w:val="fr-FR"/>
        </w:rPr>
        <w:t>’</w:t>
      </w:r>
      <w:r w:rsidRPr="00B70088">
        <w:rPr>
          <w:lang w:val="fr-FR"/>
        </w:rPr>
        <w:t xml:space="preserve">étaient pas déterminantes, </w:t>
      </w:r>
      <w:r w:rsidR="0032260A">
        <w:rPr>
          <w:lang w:val="fr-FR"/>
        </w:rPr>
        <w:t xml:space="preserve">utilisa </w:t>
      </w:r>
      <w:r w:rsidRPr="00B70088">
        <w:rPr>
          <w:lang w:val="fr-FR"/>
        </w:rPr>
        <w:t>d</w:t>
      </w:r>
      <w:r w:rsidR="00A14196">
        <w:rPr>
          <w:lang w:val="fr-FR"/>
        </w:rPr>
        <w:t>’</w:t>
      </w:r>
      <w:r w:rsidRPr="00B70088">
        <w:rPr>
          <w:lang w:val="fr-FR"/>
        </w:rPr>
        <w:t>autres témoignages de repentis recueillis entre-temps et releva que le tribunal avait sous-estimé le fait que les témoignages de certains repentis, arrêtés dans le passé par le requérant même, pouvait être la conséquence d</w:t>
      </w:r>
      <w:r w:rsidR="00A14196">
        <w:rPr>
          <w:lang w:val="fr-FR"/>
        </w:rPr>
        <w:t>’</w:t>
      </w:r>
      <w:r w:rsidRPr="00B70088">
        <w:rPr>
          <w:lang w:val="fr-FR"/>
        </w:rPr>
        <w:t>un projet de vengeance à l</w:t>
      </w:r>
      <w:r w:rsidR="00A14196">
        <w:rPr>
          <w:lang w:val="fr-FR"/>
        </w:rPr>
        <w:t>’</w:t>
      </w:r>
      <w:r w:rsidRPr="00B70088">
        <w:rPr>
          <w:lang w:val="fr-FR"/>
        </w:rPr>
        <w:t>encontre de ce dernier.</w:t>
      </w:r>
    </w:p>
    <w:p w:rsidR="005D44BD" w:rsidRDefault="00183F4C" w:rsidP="00183F4C">
      <w:pPr>
        <w:pStyle w:val="ECHRHeading2"/>
        <w:rPr>
          <w:lang w:val="fr-FR"/>
        </w:rPr>
      </w:pPr>
      <w:r>
        <w:rPr>
          <w:lang w:val="fr-FR"/>
        </w:rPr>
        <w:t>C</w:t>
      </w:r>
      <w:r w:rsidR="00F66B50" w:rsidRPr="00B70088">
        <w:rPr>
          <w:lang w:val="fr-FR"/>
        </w:rPr>
        <w:t>.</w:t>
      </w:r>
      <w:r>
        <w:rPr>
          <w:lang w:val="fr-FR"/>
        </w:rPr>
        <w:t>  </w:t>
      </w:r>
      <w:r w:rsidR="00F66B50" w:rsidRPr="00B70088">
        <w:rPr>
          <w:lang w:val="fr-FR"/>
        </w:rPr>
        <w:t>La première procédure devant la Cour de cassation</w:t>
      </w:r>
    </w:p>
    <w:p w:rsidR="00F66B50" w:rsidRPr="00B70088"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13</w:t>
      </w:r>
      <w:r>
        <w:rPr>
          <w:lang w:val="fr-FR"/>
        </w:rPr>
        <w:fldChar w:fldCharType="end"/>
      </w:r>
      <w:r>
        <w:rPr>
          <w:lang w:val="fr-FR"/>
        </w:rPr>
        <w:t>.  </w:t>
      </w:r>
      <w:r w:rsidRPr="00A60BBA">
        <w:rPr>
          <w:lang w:val="fr-FR"/>
        </w:rPr>
        <w:t>Le procureur général de la République se pourvut en cassation.</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14</w:t>
      </w:r>
      <w:r>
        <w:rPr>
          <w:lang w:val="fr-FR"/>
        </w:rPr>
        <w:fldChar w:fldCharType="end"/>
      </w:r>
      <w:r>
        <w:rPr>
          <w:lang w:val="fr-FR"/>
        </w:rPr>
        <w:t>.  </w:t>
      </w:r>
      <w:r w:rsidRPr="00B70088">
        <w:rPr>
          <w:lang w:val="fr-FR"/>
        </w:rPr>
        <w:t>Par un arrêt du 12 décembre 2002, la Cour de cassation annul</w:t>
      </w:r>
      <w:r>
        <w:rPr>
          <w:lang w:val="fr-FR"/>
        </w:rPr>
        <w:t>a</w:t>
      </w:r>
      <w:r w:rsidRPr="00B70088">
        <w:rPr>
          <w:lang w:val="fr-FR"/>
        </w:rPr>
        <w:t xml:space="preserve"> l</w:t>
      </w:r>
      <w:r w:rsidR="00A14196">
        <w:rPr>
          <w:lang w:val="fr-FR"/>
        </w:rPr>
        <w:t>’</w:t>
      </w:r>
      <w:r w:rsidRPr="00B70088">
        <w:rPr>
          <w:lang w:val="fr-FR"/>
        </w:rPr>
        <w:t>arrêt de la cour d</w:t>
      </w:r>
      <w:r w:rsidR="00A14196">
        <w:rPr>
          <w:lang w:val="fr-FR"/>
        </w:rPr>
        <w:t>’</w:t>
      </w:r>
      <w:r w:rsidRPr="00B70088">
        <w:rPr>
          <w:lang w:val="fr-FR"/>
        </w:rPr>
        <w:t>appel de Palerme et renvoya l</w:t>
      </w:r>
      <w:r w:rsidR="00A14196">
        <w:rPr>
          <w:lang w:val="fr-FR"/>
        </w:rPr>
        <w:t>’</w:t>
      </w:r>
      <w:r w:rsidRPr="00B70088">
        <w:rPr>
          <w:lang w:val="fr-FR"/>
        </w:rPr>
        <w:t xml:space="preserve">affaire devant </w:t>
      </w:r>
      <w:r w:rsidR="00565727">
        <w:rPr>
          <w:lang w:val="fr-FR"/>
        </w:rPr>
        <w:t xml:space="preserve">une autre section de </w:t>
      </w:r>
      <w:r w:rsidRPr="00B70088">
        <w:rPr>
          <w:lang w:val="fr-FR"/>
        </w:rPr>
        <w:t>celle-ci. Elle estima notamment que l</w:t>
      </w:r>
      <w:r w:rsidR="00A14196">
        <w:rPr>
          <w:lang w:val="fr-FR"/>
        </w:rPr>
        <w:t>’</w:t>
      </w:r>
      <w:r w:rsidRPr="00B70088">
        <w:rPr>
          <w:lang w:val="fr-FR"/>
        </w:rPr>
        <w:t>arrêt en question n</w:t>
      </w:r>
      <w:r w:rsidR="00A14196">
        <w:rPr>
          <w:lang w:val="fr-FR"/>
        </w:rPr>
        <w:t>’</w:t>
      </w:r>
      <w:r w:rsidRPr="00B70088">
        <w:rPr>
          <w:lang w:val="fr-FR"/>
        </w:rPr>
        <w:t xml:space="preserve">avait pas été dûment motivé. </w:t>
      </w:r>
      <w:r w:rsidR="00B66E6C" w:rsidRPr="00B70088">
        <w:rPr>
          <w:lang w:val="fr-FR"/>
        </w:rPr>
        <w:t>À</w:t>
      </w:r>
      <w:r w:rsidRPr="00B70088">
        <w:rPr>
          <w:lang w:val="fr-FR"/>
        </w:rPr>
        <w:t xml:space="preserve"> titre d</w:t>
      </w:r>
      <w:r w:rsidR="00A14196">
        <w:rPr>
          <w:lang w:val="fr-FR"/>
        </w:rPr>
        <w:t>’</w:t>
      </w:r>
      <w:r w:rsidRPr="00B70088">
        <w:rPr>
          <w:lang w:val="fr-FR"/>
        </w:rPr>
        <w:t>exemple, la cour d</w:t>
      </w:r>
      <w:r w:rsidR="00A14196">
        <w:rPr>
          <w:lang w:val="fr-FR"/>
        </w:rPr>
        <w:t>’</w:t>
      </w:r>
      <w:r w:rsidRPr="00B70088">
        <w:rPr>
          <w:lang w:val="fr-FR"/>
        </w:rPr>
        <w:t>appel avait omis d</w:t>
      </w:r>
      <w:r w:rsidR="00A14196">
        <w:rPr>
          <w:lang w:val="fr-FR"/>
        </w:rPr>
        <w:t>’</w:t>
      </w:r>
      <w:r w:rsidRPr="00B70088">
        <w:rPr>
          <w:lang w:val="fr-FR"/>
        </w:rPr>
        <w:t>expliquer la raison pour laquelle certains témoignages recueillis n</w:t>
      </w:r>
      <w:r w:rsidR="00A14196">
        <w:rPr>
          <w:lang w:val="fr-FR"/>
        </w:rPr>
        <w:t>’</w:t>
      </w:r>
      <w:r w:rsidRPr="00B70088">
        <w:rPr>
          <w:lang w:val="fr-FR"/>
        </w:rPr>
        <w:t>étaient pas susceptibles d</w:t>
      </w:r>
      <w:r w:rsidR="00A14196">
        <w:rPr>
          <w:lang w:val="fr-FR"/>
        </w:rPr>
        <w:t>’</w:t>
      </w:r>
      <w:r w:rsidRPr="00B70088">
        <w:rPr>
          <w:lang w:val="fr-FR"/>
        </w:rPr>
        <w:t>avoir valeur de preuve et n</w:t>
      </w:r>
      <w:r w:rsidR="00A14196">
        <w:rPr>
          <w:lang w:val="fr-FR"/>
        </w:rPr>
        <w:t>’</w:t>
      </w:r>
      <w:r w:rsidRPr="00B70088">
        <w:rPr>
          <w:lang w:val="fr-FR"/>
        </w:rPr>
        <w:t>a</w:t>
      </w:r>
      <w:r w:rsidR="00B66E6C">
        <w:rPr>
          <w:lang w:val="fr-FR"/>
        </w:rPr>
        <w:t>vait pas étayé la thèse de la vengeance</w:t>
      </w:r>
      <w:r w:rsidRPr="00B70088">
        <w:rPr>
          <w:lang w:val="fr-FR"/>
        </w:rPr>
        <w:t xml:space="preserve"> de la part de certains repentis vis-à-vis du requérant.</w:t>
      </w:r>
    </w:p>
    <w:p w:rsidR="00F66B50" w:rsidRDefault="00F66B50" w:rsidP="00F66B50">
      <w:pPr>
        <w:ind w:firstLine="284"/>
        <w:rPr>
          <w:lang w:val="fr-FR"/>
        </w:rPr>
      </w:pPr>
      <w:r>
        <w:rPr>
          <w:lang w:val="fr-FR"/>
        </w:rPr>
        <w:fldChar w:fldCharType="begin"/>
      </w:r>
      <w:r w:rsidRPr="00DB219A">
        <w:rPr>
          <w:lang w:val="fr-FR"/>
        </w:rPr>
        <w:instrText xml:space="preserve"> SEQ level0 \*arabic </w:instrText>
      </w:r>
      <w:r>
        <w:rPr>
          <w:lang w:val="fr-FR"/>
        </w:rPr>
        <w:fldChar w:fldCharType="separate"/>
      </w:r>
      <w:r w:rsidR="003B0C14">
        <w:rPr>
          <w:noProof/>
          <w:lang w:val="fr-FR"/>
        </w:rPr>
        <w:t>15</w:t>
      </w:r>
      <w:r>
        <w:rPr>
          <w:lang w:val="fr-FR"/>
        </w:rPr>
        <w:fldChar w:fldCharType="end"/>
      </w:r>
      <w:r w:rsidRPr="00DB219A">
        <w:rPr>
          <w:lang w:val="fr-FR"/>
        </w:rPr>
        <w:t>.   En ce qui concerne l</w:t>
      </w:r>
      <w:r w:rsidR="00A14196">
        <w:rPr>
          <w:lang w:val="fr-FR"/>
        </w:rPr>
        <w:t>’</w:t>
      </w:r>
      <w:r w:rsidRPr="00DB219A">
        <w:rPr>
          <w:lang w:val="fr-FR"/>
        </w:rPr>
        <w:t>infraction de</w:t>
      </w:r>
      <w:r w:rsidR="00466833">
        <w:rPr>
          <w:lang w:val="fr-FR"/>
        </w:rPr>
        <w:t xml:space="preserve"> </w:t>
      </w:r>
      <w:r>
        <w:rPr>
          <w:lang w:val="fr-FR"/>
        </w:rPr>
        <w:t>concours externe en</w:t>
      </w:r>
      <w:r w:rsidR="00466833">
        <w:rPr>
          <w:lang w:val="fr-FR"/>
        </w:rPr>
        <w:t xml:space="preserve"> association </w:t>
      </w:r>
      <w:r w:rsidR="009D0080">
        <w:rPr>
          <w:lang w:val="fr-FR"/>
        </w:rPr>
        <w:t>de type mafieux</w:t>
      </w:r>
      <w:r>
        <w:rPr>
          <w:lang w:val="fr-FR"/>
        </w:rPr>
        <w:t xml:space="preserve">, la Cour </w:t>
      </w:r>
      <w:r w:rsidR="00482DE5">
        <w:rPr>
          <w:lang w:val="fr-FR"/>
        </w:rPr>
        <w:t xml:space="preserve">de cassation </w:t>
      </w:r>
      <w:r>
        <w:rPr>
          <w:lang w:val="fr-FR"/>
        </w:rPr>
        <w:t>releva ce qui suit :</w:t>
      </w:r>
    </w:p>
    <w:p w:rsidR="00F66B50" w:rsidRDefault="00F66B50" w:rsidP="00F66B50">
      <w:pPr>
        <w:pStyle w:val="ECHRParaQuote"/>
        <w:rPr>
          <w:lang w:val="fr-FR"/>
        </w:rPr>
      </w:pPr>
      <w:r>
        <w:rPr>
          <w:lang w:val="fr-FR"/>
        </w:rPr>
        <w:lastRenderedPageBreak/>
        <w:t>« (</w:t>
      </w:r>
      <w:r w:rsidR="00E40263">
        <w:rPr>
          <w:lang w:val="fr-FR"/>
        </w:rPr>
        <w:t>...</w:t>
      </w:r>
      <w:r>
        <w:rPr>
          <w:lang w:val="fr-FR"/>
        </w:rPr>
        <w:t>) Le concours externe dans l</w:t>
      </w:r>
      <w:r w:rsidR="00A14196">
        <w:rPr>
          <w:lang w:val="fr-FR"/>
        </w:rPr>
        <w:t>’</w:t>
      </w:r>
      <w:r>
        <w:rPr>
          <w:lang w:val="fr-FR"/>
        </w:rPr>
        <w:t>infraction d</w:t>
      </w:r>
      <w:r w:rsidR="00A14196">
        <w:rPr>
          <w:lang w:val="fr-FR"/>
        </w:rPr>
        <w:t>’</w:t>
      </w:r>
      <w:r>
        <w:rPr>
          <w:lang w:val="fr-FR"/>
        </w:rPr>
        <w:t>association criminelle de type mafieux doit être distingué d</w:t>
      </w:r>
      <w:r w:rsidR="00DE73E2">
        <w:rPr>
          <w:lang w:val="fr-FR"/>
        </w:rPr>
        <w:t>e l</w:t>
      </w:r>
      <w:r w:rsidR="00A14196">
        <w:rPr>
          <w:lang w:val="fr-FR"/>
        </w:rPr>
        <w:t>’</w:t>
      </w:r>
      <w:r w:rsidR="00DE73E2">
        <w:rPr>
          <w:lang w:val="fr-FR"/>
        </w:rPr>
        <w:t>infraction de connivence (</w:t>
      </w:r>
      <w:r w:rsidR="004B7F9C">
        <w:rPr>
          <w:i/>
          <w:lang w:val="fr-FR"/>
        </w:rPr>
        <w:t xml:space="preserve">favoreggiamento </w:t>
      </w:r>
      <w:r w:rsidRPr="00DB219A">
        <w:rPr>
          <w:i/>
          <w:lang w:val="fr-FR"/>
        </w:rPr>
        <w:t>personale</w:t>
      </w:r>
      <w:r>
        <w:rPr>
          <w:lang w:val="fr-FR"/>
        </w:rPr>
        <w:t>) car, dans le premier cas, l</w:t>
      </w:r>
      <w:r w:rsidR="00A14196">
        <w:rPr>
          <w:lang w:val="fr-FR"/>
        </w:rPr>
        <w:t>’</w:t>
      </w:r>
      <w:r>
        <w:rPr>
          <w:lang w:val="fr-FR"/>
        </w:rPr>
        <w:t>individu, quoiqu</w:t>
      </w:r>
      <w:r w:rsidR="00A14196">
        <w:rPr>
          <w:lang w:val="fr-FR"/>
        </w:rPr>
        <w:t>’</w:t>
      </w:r>
      <w:r>
        <w:rPr>
          <w:lang w:val="fr-FR"/>
        </w:rPr>
        <w:t>il ne soit pas inséré de manière stable dans la structure organisationnelle de l</w:t>
      </w:r>
      <w:r w:rsidR="00A14196">
        <w:rPr>
          <w:lang w:val="fr-FR"/>
        </w:rPr>
        <w:t>’</w:t>
      </w:r>
      <w:r>
        <w:rPr>
          <w:lang w:val="fr-FR"/>
        </w:rPr>
        <w:t xml:space="preserve">association, opère de manière systématique avec les associés, </w:t>
      </w:r>
      <w:r w:rsidRPr="002C518B">
        <w:rPr>
          <w:lang w:val="fr-FR"/>
        </w:rPr>
        <w:t xml:space="preserve">afin de </w:t>
      </w:r>
      <w:r w:rsidR="00740F39" w:rsidRPr="002C518B">
        <w:rPr>
          <w:lang w:val="fr-FR"/>
        </w:rPr>
        <w:t xml:space="preserve">détourner les enquêtes policières </w:t>
      </w:r>
      <w:r w:rsidRPr="002C518B">
        <w:rPr>
          <w:lang w:val="fr-FR"/>
        </w:rPr>
        <w:t>visant à réprimer l</w:t>
      </w:r>
      <w:r w:rsidR="00A14196">
        <w:rPr>
          <w:lang w:val="fr-FR"/>
        </w:rPr>
        <w:t>’</w:t>
      </w:r>
      <w:r w:rsidRPr="002C518B">
        <w:rPr>
          <w:lang w:val="fr-FR"/>
        </w:rPr>
        <w:t>activité criminelle de l</w:t>
      </w:r>
      <w:r w:rsidR="00A14196">
        <w:rPr>
          <w:lang w:val="fr-FR"/>
        </w:rPr>
        <w:t>’</w:t>
      </w:r>
      <w:r w:rsidRPr="002C518B">
        <w:rPr>
          <w:lang w:val="fr-FR"/>
        </w:rPr>
        <w:t>association ou à poursuivre les personnes qui participent</w:t>
      </w:r>
      <w:r>
        <w:rPr>
          <w:lang w:val="fr-FR"/>
        </w:rPr>
        <w:t xml:space="preserve"> à une telle activité fournissant </w:t>
      </w:r>
      <w:r w:rsidR="00052E4B">
        <w:rPr>
          <w:lang w:val="fr-FR"/>
        </w:rPr>
        <w:t xml:space="preserve">ainsi </w:t>
      </w:r>
      <w:r>
        <w:rPr>
          <w:lang w:val="fr-FR"/>
        </w:rPr>
        <w:t>une contribution spécifique et concrète aux fins de la conservation et du renforcement de l</w:t>
      </w:r>
      <w:r w:rsidR="00A14196">
        <w:rPr>
          <w:lang w:val="fr-FR"/>
        </w:rPr>
        <w:t>’</w:t>
      </w:r>
      <w:r>
        <w:rPr>
          <w:lang w:val="fr-FR"/>
        </w:rPr>
        <w:t>association même ; par contre, dans l</w:t>
      </w:r>
      <w:r w:rsidR="00A14196">
        <w:rPr>
          <w:lang w:val="fr-FR"/>
        </w:rPr>
        <w:t>’</w:t>
      </w:r>
      <w:r>
        <w:rPr>
          <w:lang w:val="fr-FR"/>
        </w:rPr>
        <w:t>infraction de connivence, l</w:t>
      </w:r>
      <w:r w:rsidR="00A14196">
        <w:rPr>
          <w:lang w:val="fr-FR"/>
        </w:rPr>
        <w:t>’</w:t>
      </w:r>
      <w:r>
        <w:rPr>
          <w:lang w:val="fr-FR"/>
        </w:rPr>
        <w:t>individu aide de manière ponctuelle un associé, auteur de l</w:t>
      </w:r>
      <w:r w:rsidR="00A14196">
        <w:rPr>
          <w:lang w:val="fr-FR"/>
        </w:rPr>
        <w:t>’</w:t>
      </w:r>
      <w:r>
        <w:rPr>
          <w:lang w:val="fr-FR"/>
        </w:rPr>
        <w:t>infraction rentrant ou pas dans l</w:t>
      </w:r>
      <w:r w:rsidR="00A14196">
        <w:rPr>
          <w:lang w:val="fr-FR"/>
        </w:rPr>
        <w:t>’</w:t>
      </w:r>
      <w:r>
        <w:rPr>
          <w:lang w:val="fr-FR"/>
        </w:rPr>
        <w:t xml:space="preserve">activité prévue par le lien associatif, à éluder les investigations de </w:t>
      </w:r>
      <w:r w:rsidR="00602ECF">
        <w:rPr>
          <w:lang w:val="fr-FR"/>
        </w:rPr>
        <w:t xml:space="preserve">la </w:t>
      </w:r>
      <w:r>
        <w:rPr>
          <w:lang w:val="fr-FR"/>
        </w:rPr>
        <w:t>police ou à se soustraire aux recherches de cette dernière ».</w:t>
      </w:r>
    </w:p>
    <w:p w:rsidR="00F66B50" w:rsidRPr="00B70088" w:rsidRDefault="00183F4C" w:rsidP="00183F4C">
      <w:pPr>
        <w:pStyle w:val="ECHRHeading2"/>
        <w:rPr>
          <w:lang w:val="fr-FR"/>
        </w:rPr>
      </w:pPr>
      <w:r>
        <w:rPr>
          <w:lang w:val="fr-FR"/>
        </w:rPr>
        <w:t>D</w:t>
      </w:r>
      <w:r w:rsidR="00F66B50" w:rsidRPr="00DB219A">
        <w:rPr>
          <w:lang w:val="fr-FR"/>
        </w:rPr>
        <w:t>.</w:t>
      </w:r>
      <w:r>
        <w:rPr>
          <w:lang w:val="fr-FR"/>
        </w:rPr>
        <w:t>  </w:t>
      </w:r>
      <w:r w:rsidR="00F66B50" w:rsidRPr="00B70088">
        <w:rPr>
          <w:lang w:val="fr-FR"/>
        </w:rPr>
        <w:t>La nouvelle procédure devant la cour d</w:t>
      </w:r>
      <w:r w:rsidR="00A14196">
        <w:rPr>
          <w:lang w:val="fr-FR"/>
        </w:rPr>
        <w:t>’</w:t>
      </w:r>
      <w:r w:rsidR="00F66B50" w:rsidRPr="00B70088">
        <w:rPr>
          <w:lang w:val="fr-FR"/>
        </w:rPr>
        <w:t>appel de Palerme</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16</w:t>
      </w:r>
      <w:r>
        <w:rPr>
          <w:lang w:val="fr-FR"/>
        </w:rPr>
        <w:fldChar w:fldCharType="end"/>
      </w:r>
      <w:r>
        <w:rPr>
          <w:lang w:val="fr-FR"/>
        </w:rPr>
        <w:t>.  </w:t>
      </w:r>
      <w:r w:rsidRPr="00B70088">
        <w:rPr>
          <w:lang w:val="fr-FR"/>
        </w:rPr>
        <w:t>Par un arrêt du 25 février 2006, une nouvelle section de la cour d</w:t>
      </w:r>
      <w:r w:rsidR="00A14196">
        <w:rPr>
          <w:lang w:val="fr-FR"/>
        </w:rPr>
        <w:t>’</w:t>
      </w:r>
      <w:r w:rsidRPr="00B70088">
        <w:rPr>
          <w:lang w:val="fr-FR"/>
        </w:rPr>
        <w:t>appel de Palerme</w:t>
      </w:r>
      <w:r>
        <w:rPr>
          <w:lang w:val="fr-FR"/>
        </w:rPr>
        <w:t xml:space="preserve"> </w:t>
      </w:r>
      <w:r w:rsidRPr="00B70088">
        <w:rPr>
          <w:lang w:val="fr-FR"/>
        </w:rPr>
        <w:t xml:space="preserve">confirma le contenu du jugement du tribunal </w:t>
      </w:r>
      <w:r w:rsidR="00D3146E">
        <w:rPr>
          <w:lang w:val="fr-FR"/>
        </w:rPr>
        <w:t xml:space="preserve">de Palerme </w:t>
      </w:r>
      <w:r w:rsidRPr="00B70088">
        <w:rPr>
          <w:lang w:val="fr-FR"/>
        </w:rPr>
        <w:t>du 5 avril 1996 sur la base, d</w:t>
      </w:r>
      <w:r w:rsidR="00A14196">
        <w:rPr>
          <w:lang w:val="fr-FR"/>
        </w:rPr>
        <w:t>’</w:t>
      </w:r>
      <w:r w:rsidRPr="00B70088">
        <w:rPr>
          <w:lang w:val="fr-FR"/>
        </w:rPr>
        <w:t>une part, de nombreux autres témoignages et documents recueillis au cour</w:t>
      </w:r>
      <w:r w:rsidR="00031858">
        <w:rPr>
          <w:lang w:val="fr-FR"/>
        </w:rPr>
        <w:t>s</w:t>
      </w:r>
      <w:r w:rsidRPr="00B70088">
        <w:rPr>
          <w:lang w:val="fr-FR"/>
        </w:rPr>
        <w:t xml:space="preserve"> de l</w:t>
      </w:r>
      <w:r w:rsidR="00A14196">
        <w:rPr>
          <w:lang w:val="fr-FR"/>
        </w:rPr>
        <w:t>’</w:t>
      </w:r>
      <w:r w:rsidRPr="00B70088">
        <w:rPr>
          <w:lang w:val="fr-FR"/>
        </w:rPr>
        <w:t>enquête et, d</w:t>
      </w:r>
      <w:r w:rsidR="00A14196">
        <w:rPr>
          <w:lang w:val="fr-FR"/>
        </w:rPr>
        <w:t>’</w:t>
      </w:r>
      <w:r w:rsidRPr="00B70088">
        <w:rPr>
          <w:lang w:val="fr-FR"/>
        </w:rPr>
        <w:t>autre part, de la prétendue évaluation</w:t>
      </w:r>
      <w:r w:rsidR="00E35267" w:rsidRPr="00E35267">
        <w:rPr>
          <w:lang w:val="fr-FR"/>
        </w:rPr>
        <w:t xml:space="preserve"> </w:t>
      </w:r>
      <w:r w:rsidR="006A00C5">
        <w:rPr>
          <w:lang w:val="fr-FR"/>
        </w:rPr>
        <w:t xml:space="preserve">erronée </w:t>
      </w:r>
      <w:r w:rsidR="00E35267" w:rsidRPr="00B70088">
        <w:rPr>
          <w:lang w:val="fr-FR"/>
        </w:rPr>
        <w:t xml:space="preserve">de la valeur probatoire </w:t>
      </w:r>
      <w:r w:rsidR="00E35267">
        <w:rPr>
          <w:lang w:val="fr-FR"/>
        </w:rPr>
        <w:t>de</w:t>
      </w:r>
      <w:r w:rsidR="00E35267" w:rsidRPr="00B70088">
        <w:rPr>
          <w:lang w:val="fr-FR"/>
        </w:rPr>
        <w:t xml:space="preserve"> certains témoignages</w:t>
      </w:r>
      <w:r w:rsidR="00E35267">
        <w:rPr>
          <w:lang w:val="fr-FR"/>
        </w:rPr>
        <w:t xml:space="preserve"> opérée par </w:t>
      </w:r>
      <w:r w:rsidRPr="00B70088">
        <w:rPr>
          <w:lang w:val="fr-FR"/>
        </w:rPr>
        <w:t>l</w:t>
      </w:r>
      <w:r>
        <w:rPr>
          <w:lang w:val="fr-FR"/>
        </w:rPr>
        <w:t>a section de l</w:t>
      </w:r>
      <w:r w:rsidRPr="00B70088">
        <w:rPr>
          <w:lang w:val="fr-FR"/>
        </w:rPr>
        <w:t>a cour d</w:t>
      </w:r>
      <w:r w:rsidR="00A14196">
        <w:rPr>
          <w:lang w:val="fr-FR"/>
        </w:rPr>
        <w:t>’</w:t>
      </w:r>
      <w:r w:rsidRPr="00B70088">
        <w:rPr>
          <w:lang w:val="fr-FR"/>
        </w:rPr>
        <w:t>appel</w:t>
      </w:r>
      <w:r>
        <w:rPr>
          <w:lang w:val="fr-FR"/>
        </w:rPr>
        <w:t xml:space="preserve"> ayant </w:t>
      </w:r>
      <w:r w:rsidR="0090466A">
        <w:rPr>
          <w:lang w:val="fr-FR"/>
        </w:rPr>
        <w:t>adopté</w:t>
      </w:r>
      <w:r>
        <w:rPr>
          <w:lang w:val="fr-FR"/>
        </w:rPr>
        <w:t xml:space="preserve"> son arrêt </w:t>
      </w:r>
      <w:r w:rsidR="005E50F4">
        <w:rPr>
          <w:lang w:val="fr-FR"/>
        </w:rPr>
        <w:t>du</w:t>
      </w:r>
      <w:r>
        <w:rPr>
          <w:lang w:val="fr-FR"/>
        </w:rPr>
        <w:t xml:space="preserve"> 4 mai 2001</w:t>
      </w:r>
      <w:r w:rsidRPr="00B70088">
        <w:rPr>
          <w:lang w:val="fr-FR"/>
        </w:rPr>
        <w:t>.</w:t>
      </w:r>
    </w:p>
    <w:p w:rsidR="00AD735C" w:rsidRDefault="00F66B50" w:rsidP="00424F9E">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17</w:t>
      </w:r>
      <w:r>
        <w:rPr>
          <w:lang w:val="fr-FR"/>
        </w:rPr>
        <w:fldChar w:fldCharType="end"/>
      </w:r>
      <w:r>
        <w:rPr>
          <w:lang w:val="fr-FR"/>
        </w:rPr>
        <w:t>.  En ce qui concerne l</w:t>
      </w:r>
      <w:r w:rsidR="00A14196">
        <w:rPr>
          <w:lang w:val="fr-FR"/>
        </w:rPr>
        <w:t>’</w:t>
      </w:r>
      <w:r w:rsidR="001E0171">
        <w:rPr>
          <w:lang w:val="fr-FR"/>
        </w:rPr>
        <w:t>existence de l</w:t>
      </w:r>
      <w:r w:rsidR="00A14196">
        <w:rPr>
          <w:lang w:val="fr-FR"/>
        </w:rPr>
        <w:t>’</w:t>
      </w:r>
      <w:r w:rsidR="001E0171">
        <w:rPr>
          <w:lang w:val="fr-FR"/>
        </w:rPr>
        <w:t xml:space="preserve">infraction de </w:t>
      </w:r>
      <w:r>
        <w:rPr>
          <w:lang w:val="fr-FR"/>
        </w:rPr>
        <w:t>concours externe</w:t>
      </w:r>
      <w:r w:rsidRPr="00223122">
        <w:rPr>
          <w:lang w:val="fr-FR"/>
        </w:rPr>
        <w:t xml:space="preserve"> </w:t>
      </w:r>
      <w:r>
        <w:rPr>
          <w:lang w:val="fr-FR"/>
        </w:rPr>
        <w:t xml:space="preserve">en </w:t>
      </w:r>
      <w:r w:rsidRPr="00B70088">
        <w:rPr>
          <w:lang w:val="fr-FR"/>
        </w:rPr>
        <w:t xml:space="preserve">association </w:t>
      </w:r>
      <w:r w:rsidR="003913A0">
        <w:rPr>
          <w:lang w:val="fr-FR"/>
        </w:rPr>
        <w:t>de type mafieux</w:t>
      </w:r>
      <w:r>
        <w:rPr>
          <w:lang w:val="fr-FR"/>
        </w:rPr>
        <w:t xml:space="preserve"> (</w:t>
      </w:r>
      <w:r w:rsidRPr="00223122">
        <w:rPr>
          <w:i/>
          <w:lang w:val="fr-FR"/>
        </w:rPr>
        <w:t xml:space="preserve">configurabilità del concorso esterno in associazione </w:t>
      </w:r>
      <w:r>
        <w:rPr>
          <w:i/>
          <w:lang w:val="fr-FR"/>
        </w:rPr>
        <w:t>di stampo mafioso</w:t>
      </w:r>
      <w:r>
        <w:rPr>
          <w:lang w:val="fr-FR"/>
        </w:rPr>
        <w:t>), la cour d</w:t>
      </w:r>
      <w:r w:rsidR="00A14196">
        <w:rPr>
          <w:lang w:val="fr-FR"/>
        </w:rPr>
        <w:t>’</w:t>
      </w:r>
      <w:r>
        <w:rPr>
          <w:lang w:val="fr-FR"/>
        </w:rPr>
        <w:t>appel estima que le jugement du tribunal de première instance ayant condamné le requérant avait appliqué à juste titre les principes développés par</w:t>
      </w:r>
      <w:r w:rsidR="00AD735C">
        <w:rPr>
          <w:lang w:val="fr-FR"/>
        </w:rPr>
        <w:t xml:space="preserve"> la jurisprudence en la matière</w:t>
      </w:r>
      <w:r w:rsidR="00711DBE">
        <w:rPr>
          <w:lang w:val="fr-FR"/>
        </w:rPr>
        <w:t>.</w:t>
      </w:r>
    </w:p>
    <w:p w:rsidR="00F66B50" w:rsidRDefault="00AD735C" w:rsidP="00424F9E">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18</w:t>
      </w:r>
      <w:r>
        <w:rPr>
          <w:lang w:val="fr-FR"/>
        </w:rPr>
        <w:fldChar w:fldCharType="end"/>
      </w:r>
      <w:r>
        <w:rPr>
          <w:lang w:val="fr-FR"/>
        </w:rPr>
        <w:t>.  </w:t>
      </w:r>
      <w:r w:rsidR="00F66B50">
        <w:rPr>
          <w:lang w:val="fr-FR"/>
        </w:rPr>
        <w:t>Il fit valoir en particulier qu</w:t>
      </w:r>
      <w:r w:rsidR="00A14196">
        <w:rPr>
          <w:lang w:val="fr-FR"/>
        </w:rPr>
        <w:t>’</w:t>
      </w:r>
      <w:r w:rsidR="00F66B50">
        <w:rPr>
          <w:lang w:val="fr-FR"/>
        </w:rPr>
        <w:t>au moment d</w:t>
      </w:r>
      <w:r w:rsidR="0059539C">
        <w:rPr>
          <w:lang w:val="fr-FR"/>
        </w:rPr>
        <w:t>e l</w:t>
      </w:r>
      <w:r w:rsidR="00A14196">
        <w:rPr>
          <w:lang w:val="fr-FR"/>
        </w:rPr>
        <w:t>’</w:t>
      </w:r>
      <w:r w:rsidR="0059539C">
        <w:rPr>
          <w:lang w:val="fr-FR"/>
        </w:rPr>
        <w:t xml:space="preserve">introduction du recours en appel, le </w:t>
      </w:r>
      <w:r w:rsidR="00F66B50">
        <w:rPr>
          <w:lang w:val="fr-FR"/>
        </w:rPr>
        <w:t>1</w:t>
      </w:r>
      <w:r w:rsidR="00F66B50" w:rsidRPr="00560BFA">
        <w:rPr>
          <w:vertAlign w:val="superscript"/>
          <w:lang w:val="fr-FR"/>
        </w:rPr>
        <w:t>er</w:t>
      </w:r>
      <w:r w:rsidR="00F66B50">
        <w:rPr>
          <w:lang w:val="fr-FR"/>
        </w:rPr>
        <w:t xml:space="preserve"> j</w:t>
      </w:r>
      <w:r w:rsidR="0059539C">
        <w:rPr>
          <w:lang w:val="fr-FR"/>
        </w:rPr>
        <w:t>anvier 1997</w:t>
      </w:r>
      <w:r w:rsidR="00F66B50">
        <w:rPr>
          <w:lang w:val="fr-FR"/>
        </w:rPr>
        <w:t>, la Cour de cassation s</w:t>
      </w:r>
      <w:r w:rsidR="00A14196">
        <w:rPr>
          <w:lang w:val="fr-FR"/>
        </w:rPr>
        <w:t>’</w:t>
      </w:r>
      <w:r w:rsidR="00F66B50">
        <w:rPr>
          <w:lang w:val="fr-FR"/>
        </w:rPr>
        <w:t xml:space="preserve">était prononcée à deux reprises </w:t>
      </w:r>
      <w:r w:rsidR="002F1195">
        <w:rPr>
          <w:lang w:val="fr-FR"/>
        </w:rPr>
        <w:t>en formation plénière</w:t>
      </w:r>
      <w:r w:rsidR="00F66B50">
        <w:rPr>
          <w:lang w:val="fr-FR"/>
        </w:rPr>
        <w:t xml:space="preserve"> dans le sens de l</w:t>
      </w:r>
      <w:r w:rsidR="00A14196">
        <w:rPr>
          <w:lang w:val="fr-FR"/>
        </w:rPr>
        <w:t>’</w:t>
      </w:r>
      <w:r w:rsidR="00F66B50">
        <w:rPr>
          <w:lang w:val="fr-FR"/>
        </w:rPr>
        <w:t>existence de l</w:t>
      </w:r>
      <w:r w:rsidR="00A14196">
        <w:rPr>
          <w:lang w:val="fr-FR"/>
        </w:rPr>
        <w:t>’</w:t>
      </w:r>
      <w:r w:rsidR="00F66B50">
        <w:rPr>
          <w:lang w:val="fr-FR"/>
        </w:rPr>
        <w:t xml:space="preserve">infraction de concours externe en association </w:t>
      </w:r>
      <w:r w:rsidR="009D0080">
        <w:rPr>
          <w:lang w:val="fr-FR"/>
        </w:rPr>
        <w:t xml:space="preserve">de type mafieux </w:t>
      </w:r>
      <w:r w:rsidR="00CB2F62">
        <w:rPr>
          <w:lang w:val="fr-FR"/>
        </w:rPr>
        <w:t xml:space="preserve">(notamment dans les arrêts </w:t>
      </w:r>
      <w:r w:rsidRPr="00F31E4B">
        <w:rPr>
          <w:i/>
          <w:lang w:val="fr-FR"/>
        </w:rPr>
        <w:t>Demitry</w:t>
      </w:r>
      <w:r w:rsidR="00CB2F62">
        <w:rPr>
          <w:lang w:val="fr-FR"/>
        </w:rPr>
        <w:t>, n</w:t>
      </w:r>
      <w:r w:rsidR="00E40263" w:rsidRPr="00E40263">
        <w:rPr>
          <w:vertAlign w:val="superscript"/>
          <w:lang w:val="fr-FR"/>
        </w:rPr>
        <w:t>o</w:t>
      </w:r>
      <w:r w:rsidR="00CB2F62">
        <w:rPr>
          <w:lang w:val="fr-FR"/>
        </w:rPr>
        <w:t xml:space="preserve"> 16 du</w:t>
      </w:r>
      <w:r>
        <w:rPr>
          <w:lang w:val="fr-FR"/>
        </w:rPr>
        <w:t xml:space="preserve"> 5 octobre 1994 et </w:t>
      </w:r>
      <w:r w:rsidRPr="00F31E4B">
        <w:rPr>
          <w:i/>
          <w:lang w:val="fr-FR"/>
        </w:rPr>
        <w:t>Mannino</w:t>
      </w:r>
      <w:r w:rsidR="00CB2F62">
        <w:rPr>
          <w:lang w:val="fr-FR"/>
        </w:rPr>
        <w:t>, n</w:t>
      </w:r>
      <w:r w:rsidR="00E40263" w:rsidRPr="00E40263">
        <w:rPr>
          <w:vertAlign w:val="superscript"/>
          <w:lang w:val="fr-FR"/>
        </w:rPr>
        <w:t>o</w:t>
      </w:r>
      <w:r w:rsidR="00CB2F62">
        <w:rPr>
          <w:lang w:val="fr-FR"/>
        </w:rPr>
        <w:t xml:space="preserve"> 30</w:t>
      </w:r>
      <w:r>
        <w:rPr>
          <w:lang w:val="fr-FR"/>
        </w:rPr>
        <w:t xml:space="preserve"> de 1995)</w:t>
      </w:r>
      <w:r w:rsidR="00F66B50">
        <w:rPr>
          <w:lang w:val="fr-FR"/>
        </w:rPr>
        <w:t xml:space="preserve">, </w:t>
      </w:r>
      <w:r w:rsidR="0059539C">
        <w:rPr>
          <w:lang w:val="fr-FR"/>
        </w:rPr>
        <w:t xml:space="preserve">et que cette position fut confirmée dans deux arrêts </w:t>
      </w:r>
      <w:r w:rsidR="008A5CDA">
        <w:rPr>
          <w:lang w:val="fr-FR"/>
        </w:rPr>
        <w:t>intervenus successivement en la matière</w:t>
      </w:r>
      <w:r w:rsidR="0059539C">
        <w:rPr>
          <w:lang w:val="fr-FR"/>
        </w:rPr>
        <w:t xml:space="preserve"> (</w:t>
      </w:r>
      <w:r w:rsidR="001A0739">
        <w:rPr>
          <w:lang w:val="fr-FR"/>
        </w:rPr>
        <w:t xml:space="preserve">à savoir, </w:t>
      </w:r>
      <w:r w:rsidR="0059539C" w:rsidRPr="002D6C6C">
        <w:rPr>
          <w:i/>
          <w:lang w:val="fr-FR"/>
        </w:rPr>
        <w:t>Carnevale</w:t>
      </w:r>
      <w:r w:rsidR="0059539C">
        <w:rPr>
          <w:lang w:val="fr-FR"/>
        </w:rPr>
        <w:t>, n</w:t>
      </w:r>
      <w:r w:rsidR="00E40263" w:rsidRPr="00E40263">
        <w:rPr>
          <w:vertAlign w:val="superscript"/>
          <w:lang w:val="fr-FR"/>
        </w:rPr>
        <w:t>o</w:t>
      </w:r>
      <w:r w:rsidR="008A5CDA">
        <w:rPr>
          <w:lang w:val="fr-FR"/>
        </w:rPr>
        <w:t> </w:t>
      </w:r>
      <w:r w:rsidR="001A0739">
        <w:rPr>
          <w:lang w:val="fr-FR"/>
        </w:rPr>
        <w:t>22327</w:t>
      </w:r>
      <w:r w:rsidR="0059539C">
        <w:rPr>
          <w:lang w:val="fr-FR"/>
        </w:rPr>
        <w:t xml:space="preserve"> du 30 octobre 2002 et </w:t>
      </w:r>
      <w:r w:rsidR="0059539C" w:rsidRPr="003D7BDA">
        <w:rPr>
          <w:i/>
          <w:lang w:val="fr-FR"/>
        </w:rPr>
        <w:t>Mannino</w:t>
      </w:r>
      <w:r w:rsidR="0059539C">
        <w:rPr>
          <w:lang w:val="fr-FR"/>
        </w:rPr>
        <w:t>, n</w:t>
      </w:r>
      <w:r w:rsidR="00E40263" w:rsidRPr="00E40263">
        <w:rPr>
          <w:vertAlign w:val="superscript"/>
          <w:lang w:val="fr-FR"/>
        </w:rPr>
        <w:t>o</w:t>
      </w:r>
      <w:r w:rsidR="008A5CDA">
        <w:rPr>
          <w:lang w:val="fr-FR"/>
        </w:rPr>
        <w:t> </w:t>
      </w:r>
      <w:r w:rsidR="001A0739">
        <w:rPr>
          <w:lang w:val="fr-FR"/>
        </w:rPr>
        <w:t>33748</w:t>
      </w:r>
      <w:r w:rsidR="0059539C">
        <w:rPr>
          <w:lang w:val="fr-FR"/>
        </w:rPr>
        <w:t xml:space="preserve"> du 17 juillet 2005)</w:t>
      </w:r>
      <w:r w:rsidR="00F66B50">
        <w:rPr>
          <w:lang w:val="fr-FR"/>
        </w:rPr>
        <w:t>. La cour d</w:t>
      </w:r>
      <w:r w:rsidR="00A14196">
        <w:rPr>
          <w:lang w:val="fr-FR"/>
        </w:rPr>
        <w:t>’</w:t>
      </w:r>
      <w:r w:rsidR="00F66B50">
        <w:rPr>
          <w:lang w:val="fr-FR"/>
        </w:rPr>
        <w:t>appel faisait également valoir que l</w:t>
      </w:r>
      <w:r w:rsidR="00A14196">
        <w:rPr>
          <w:lang w:val="fr-FR"/>
        </w:rPr>
        <w:t>’</w:t>
      </w:r>
      <w:r w:rsidR="00F66B50">
        <w:rPr>
          <w:lang w:val="fr-FR"/>
        </w:rPr>
        <w:t>arrêt de la Cour de cassation d</w:t>
      </w:r>
      <w:r w:rsidR="00A14196">
        <w:rPr>
          <w:lang w:val="fr-FR"/>
        </w:rPr>
        <w:t>’</w:t>
      </w:r>
      <w:r w:rsidR="00F66B50">
        <w:rPr>
          <w:lang w:val="fr-FR"/>
        </w:rPr>
        <w:t>annulation avec renvoi se référait également à une telle infraction en notant la différence entre cette dernière et la connivence.</w:t>
      </w:r>
      <w:r w:rsidR="00424F9E">
        <w:rPr>
          <w:lang w:val="fr-FR"/>
        </w:rPr>
        <w:t xml:space="preserve"> </w:t>
      </w:r>
      <w:r w:rsidR="00F66B50">
        <w:rPr>
          <w:lang w:val="fr-FR"/>
        </w:rPr>
        <w:t>La cour d</w:t>
      </w:r>
      <w:r w:rsidR="00A14196">
        <w:rPr>
          <w:lang w:val="fr-FR"/>
        </w:rPr>
        <w:t>’</w:t>
      </w:r>
      <w:r w:rsidR="00F66B50">
        <w:rPr>
          <w:lang w:val="fr-FR"/>
        </w:rPr>
        <w:t>appel releva en outre que :</w:t>
      </w:r>
    </w:p>
    <w:p w:rsidR="00F66B50" w:rsidRPr="00497105" w:rsidRDefault="00F66B50" w:rsidP="00F66B50">
      <w:pPr>
        <w:pStyle w:val="JuQuotSub"/>
        <w:rPr>
          <w:lang w:val="fr-FR"/>
        </w:rPr>
      </w:pPr>
      <w:r>
        <w:rPr>
          <w:lang w:val="fr-FR"/>
        </w:rPr>
        <w:t>« (</w:t>
      </w:r>
      <w:r w:rsidR="00E40263">
        <w:rPr>
          <w:lang w:val="fr-FR"/>
        </w:rPr>
        <w:t>...</w:t>
      </w:r>
      <w:r>
        <w:rPr>
          <w:lang w:val="fr-FR"/>
        </w:rPr>
        <w:t xml:space="preserve">) Le concours externe en association </w:t>
      </w:r>
      <w:r w:rsidR="009D0080">
        <w:rPr>
          <w:lang w:val="fr-FR"/>
        </w:rPr>
        <w:t xml:space="preserve">de type mafieux </w:t>
      </w:r>
      <w:r>
        <w:rPr>
          <w:lang w:val="fr-FR"/>
        </w:rPr>
        <w:t>est propre aux situations dans lesquelles une personne, privée de l</w:t>
      </w:r>
      <w:r w:rsidR="00A14196">
        <w:rPr>
          <w:lang w:val="fr-FR"/>
        </w:rPr>
        <w:t>’</w:t>
      </w:r>
      <w:r w:rsidRPr="00F35510">
        <w:rPr>
          <w:i/>
          <w:lang w:val="fr-FR"/>
        </w:rPr>
        <w:t>affectio societatis</w:t>
      </w:r>
      <w:r>
        <w:rPr>
          <w:lang w:val="fr-FR"/>
        </w:rPr>
        <w:t xml:space="preserve"> et non insérée dans la structure organisationnelle de l</w:t>
      </w:r>
      <w:r w:rsidR="00A14196">
        <w:rPr>
          <w:lang w:val="fr-FR"/>
        </w:rPr>
        <w:t>’</w:t>
      </w:r>
      <w:r>
        <w:rPr>
          <w:lang w:val="fr-FR"/>
        </w:rPr>
        <w:t>association, fournit une contribution concrète, spécifique, consciente et volontaire, qu</w:t>
      </w:r>
      <w:r w:rsidR="00A14196">
        <w:rPr>
          <w:lang w:val="fr-FR"/>
        </w:rPr>
        <w:t>’</w:t>
      </w:r>
      <w:r>
        <w:rPr>
          <w:lang w:val="fr-FR"/>
        </w:rPr>
        <w:t xml:space="preserve">elle soit </w:t>
      </w:r>
      <w:r w:rsidR="00F41AF2">
        <w:rPr>
          <w:lang w:val="fr-FR"/>
        </w:rPr>
        <w:t>occasionnel</w:t>
      </w:r>
      <w:r w:rsidR="00854627">
        <w:rPr>
          <w:lang w:val="fr-FR"/>
        </w:rPr>
        <w:t>le</w:t>
      </w:r>
      <w:r w:rsidR="00F41AF2">
        <w:rPr>
          <w:lang w:val="fr-FR"/>
        </w:rPr>
        <w:t xml:space="preserve"> ou continu</w:t>
      </w:r>
      <w:r w:rsidR="00854627">
        <w:rPr>
          <w:lang w:val="fr-FR"/>
        </w:rPr>
        <w:t>e</w:t>
      </w:r>
      <w:r>
        <w:rPr>
          <w:lang w:val="fr-FR"/>
        </w:rPr>
        <w:t xml:space="preserve">, pourvu que cette contribution ait </w:t>
      </w:r>
      <w:r w:rsidR="00D903FB">
        <w:rPr>
          <w:lang w:val="fr-FR"/>
        </w:rPr>
        <w:t>pour conséquence</w:t>
      </w:r>
      <w:r>
        <w:rPr>
          <w:lang w:val="fr-FR"/>
        </w:rPr>
        <w:t xml:space="preserve"> effective la conservation et </w:t>
      </w:r>
      <w:r w:rsidR="00AA3649">
        <w:rPr>
          <w:lang w:val="fr-FR"/>
        </w:rPr>
        <w:t>le</w:t>
      </w:r>
      <w:r w:rsidR="00525986">
        <w:rPr>
          <w:lang w:val="fr-FR"/>
        </w:rPr>
        <w:t xml:space="preserve"> renforcement de l</w:t>
      </w:r>
      <w:r w:rsidR="00A14196">
        <w:rPr>
          <w:lang w:val="fr-FR"/>
        </w:rPr>
        <w:t>’</w:t>
      </w:r>
      <w:r w:rsidR="00525986">
        <w:rPr>
          <w:lang w:val="fr-FR"/>
        </w:rPr>
        <w:t>association</w:t>
      </w:r>
      <w:r>
        <w:rPr>
          <w:lang w:val="fr-FR"/>
        </w:rPr>
        <w:t xml:space="preserve"> et</w:t>
      </w:r>
      <w:r w:rsidR="00525986">
        <w:rPr>
          <w:lang w:val="fr-FR"/>
        </w:rPr>
        <w:t xml:space="preserve"> que</w:t>
      </w:r>
      <w:r>
        <w:rPr>
          <w:lang w:val="fr-FR"/>
        </w:rPr>
        <w:t xml:space="preserve"> l</w:t>
      </w:r>
      <w:r w:rsidR="00A14196">
        <w:rPr>
          <w:lang w:val="fr-FR"/>
        </w:rPr>
        <w:t>’</w:t>
      </w:r>
      <w:r>
        <w:rPr>
          <w:lang w:val="fr-FR"/>
        </w:rPr>
        <w:t>auteur soit conscient, dans la forme du dol génér</w:t>
      </w:r>
      <w:r w:rsidR="00AA3649">
        <w:rPr>
          <w:lang w:val="fr-FR"/>
        </w:rPr>
        <w:t>al</w:t>
      </w:r>
      <w:r>
        <w:rPr>
          <w:lang w:val="fr-FR"/>
        </w:rPr>
        <w:t xml:space="preserve"> direct, de son </w:t>
      </w:r>
      <w:r w:rsidR="00AA3649">
        <w:rPr>
          <w:lang w:val="fr-FR"/>
        </w:rPr>
        <w:t>rôle</w:t>
      </w:r>
      <w:r>
        <w:rPr>
          <w:lang w:val="fr-FR"/>
        </w:rPr>
        <w:t xml:space="preserve"> pour la réalisation, même si partielle, du projet criminel</w:t>
      </w:r>
      <w:r w:rsidR="00EB2561">
        <w:rPr>
          <w:lang w:val="fr-FR"/>
        </w:rPr>
        <w:t>. »</w:t>
      </w:r>
    </w:p>
    <w:p w:rsidR="00F66B50" w:rsidRPr="00B70088" w:rsidRDefault="00183F4C" w:rsidP="00183F4C">
      <w:pPr>
        <w:pStyle w:val="ECHRHeading2"/>
        <w:rPr>
          <w:lang w:val="fr-FR"/>
        </w:rPr>
      </w:pPr>
      <w:r>
        <w:rPr>
          <w:lang w:val="fr-FR"/>
        </w:rPr>
        <w:lastRenderedPageBreak/>
        <w:t>E</w:t>
      </w:r>
      <w:r w:rsidR="00F66B50" w:rsidRPr="00B70088">
        <w:rPr>
          <w:lang w:val="fr-FR"/>
        </w:rPr>
        <w:t>.</w:t>
      </w:r>
      <w:r>
        <w:rPr>
          <w:lang w:val="fr-FR"/>
        </w:rPr>
        <w:t>  </w:t>
      </w:r>
      <w:r w:rsidR="00F66B50" w:rsidRPr="00B70088">
        <w:rPr>
          <w:lang w:val="fr-FR"/>
        </w:rPr>
        <w:t>La deuxième procédure devant la Cour de cassation</w:t>
      </w:r>
    </w:p>
    <w:p w:rsidR="00F66B50" w:rsidRPr="00E5217F"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19</w:t>
      </w:r>
      <w:r>
        <w:rPr>
          <w:lang w:val="fr-FR"/>
        </w:rPr>
        <w:fldChar w:fldCharType="end"/>
      </w:r>
      <w:r>
        <w:rPr>
          <w:lang w:val="fr-FR"/>
        </w:rPr>
        <w:t>.  </w:t>
      </w:r>
      <w:r w:rsidRPr="00E5217F">
        <w:rPr>
          <w:lang w:val="fr-FR"/>
        </w:rPr>
        <w:t>Le requérant se pourvut en cassation.</w:t>
      </w:r>
    </w:p>
    <w:p w:rsidR="00F66B50" w:rsidRPr="00E5217F"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20</w:t>
      </w:r>
      <w:r>
        <w:rPr>
          <w:lang w:val="fr-FR"/>
        </w:rPr>
        <w:fldChar w:fldCharType="end"/>
      </w:r>
      <w:r>
        <w:rPr>
          <w:lang w:val="fr-FR"/>
        </w:rPr>
        <w:t>.  </w:t>
      </w:r>
      <w:r w:rsidRPr="00E5217F">
        <w:rPr>
          <w:lang w:val="fr-FR"/>
        </w:rPr>
        <w:t>I</w:t>
      </w:r>
      <w:r>
        <w:rPr>
          <w:lang w:val="fr-FR"/>
        </w:rPr>
        <w:t>l réitéra le principe de la non-</w:t>
      </w:r>
      <w:r w:rsidRPr="00E5217F">
        <w:rPr>
          <w:lang w:val="fr-FR"/>
        </w:rPr>
        <w:t>rétroactivité et de la prévisibilité de la loi pénale estimant que cette question n</w:t>
      </w:r>
      <w:r w:rsidR="00A14196">
        <w:rPr>
          <w:lang w:val="fr-FR"/>
        </w:rPr>
        <w:t>’</w:t>
      </w:r>
      <w:r w:rsidRPr="00E5217F">
        <w:rPr>
          <w:lang w:val="fr-FR"/>
        </w:rPr>
        <w:t>avait pas fait l</w:t>
      </w:r>
      <w:r w:rsidR="00A14196">
        <w:rPr>
          <w:lang w:val="fr-FR"/>
        </w:rPr>
        <w:t>’</w:t>
      </w:r>
      <w:r w:rsidRPr="00E5217F">
        <w:rPr>
          <w:lang w:val="fr-FR"/>
        </w:rPr>
        <w:t>objet d</w:t>
      </w:r>
      <w:r w:rsidR="00A14196">
        <w:rPr>
          <w:lang w:val="fr-FR"/>
        </w:rPr>
        <w:t>’</w:t>
      </w:r>
      <w:r w:rsidRPr="00E5217F">
        <w:rPr>
          <w:lang w:val="fr-FR"/>
        </w:rPr>
        <w:t>un examen de la part des juridictions internes et demanda que les faits de l</w:t>
      </w:r>
      <w:r w:rsidR="00A14196">
        <w:rPr>
          <w:lang w:val="fr-FR"/>
        </w:rPr>
        <w:t>’</w:t>
      </w:r>
      <w:r w:rsidRPr="00E5217F">
        <w:rPr>
          <w:lang w:val="fr-FR"/>
        </w:rPr>
        <w:t>espèce soient</w:t>
      </w:r>
      <w:r>
        <w:rPr>
          <w:lang w:val="fr-FR"/>
        </w:rPr>
        <w:t xml:space="preserve"> plutôt </w:t>
      </w:r>
      <w:r w:rsidRPr="00E5217F">
        <w:rPr>
          <w:lang w:val="fr-FR"/>
        </w:rPr>
        <w:t xml:space="preserve">qualifiés de </w:t>
      </w:r>
      <w:r>
        <w:rPr>
          <w:lang w:val="fr-FR"/>
        </w:rPr>
        <w:t>connivence</w:t>
      </w:r>
      <w:r w:rsidRPr="00E5217F">
        <w:rPr>
          <w:lang w:val="fr-FR"/>
        </w:rPr>
        <w:t xml:space="preserve"> (</w:t>
      </w:r>
      <w:r w:rsidRPr="00E5217F">
        <w:rPr>
          <w:i/>
          <w:lang w:val="fr-FR"/>
        </w:rPr>
        <w:t>favoreggiamento personale</w:t>
      </w:r>
      <w:r w:rsidRPr="00E5217F">
        <w:rPr>
          <w:lang w:val="fr-FR"/>
        </w:rPr>
        <w:t>).</w:t>
      </w:r>
    </w:p>
    <w:p w:rsidR="00F66B50" w:rsidRPr="00B70088"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21</w:t>
      </w:r>
      <w:r>
        <w:rPr>
          <w:lang w:val="fr-FR"/>
        </w:rPr>
        <w:fldChar w:fldCharType="end"/>
      </w:r>
      <w:r>
        <w:rPr>
          <w:lang w:val="fr-FR"/>
        </w:rPr>
        <w:t>.  </w:t>
      </w:r>
      <w:r w:rsidRPr="00E5217F">
        <w:rPr>
          <w:lang w:val="fr-FR"/>
        </w:rPr>
        <w:t>Il contesta, entre autres, l</w:t>
      </w:r>
      <w:r w:rsidR="00A14196">
        <w:rPr>
          <w:lang w:val="fr-FR"/>
        </w:rPr>
        <w:t>’</w:t>
      </w:r>
      <w:r w:rsidRPr="00E5217F">
        <w:rPr>
          <w:lang w:val="fr-FR"/>
        </w:rPr>
        <w:t>utilisation des déclarations d</w:t>
      </w:r>
      <w:r w:rsidR="00A14196">
        <w:rPr>
          <w:lang w:val="fr-FR"/>
        </w:rPr>
        <w:t>’</w:t>
      </w:r>
      <w:r w:rsidRPr="00E5217F">
        <w:rPr>
          <w:lang w:val="fr-FR"/>
        </w:rPr>
        <w:t xml:space="preserve">un repenti </w:t>
      </w:r>
      <w:r>
        <w:rPr>
          <w:lang w:val="fr-FR"/>
        </w:rPr>
        <w:t xml:space="preserve">et </w:t>
      </w:r>
      <w:r w:rsidRPr="00B70088">
        <w:rPr>
          <w:lang w:val="fr-FR"/>
        </w:rPr>
        <w:t xml:space="preserve">demanda </w:t>
      </w:r>
      <w:r w:rsidR="00AA3649">
        <w:rPr>
          <w:lang w:val="fr-FR"/>
        </w:rPr>
        <w:t>le dépôt</w:t>
      </w:r>
      <w:r>
        <w:rPr>
          <w:lang w:val="fr-FR"/>
        </w:rPr>
        <w:t xml:space="preserve"> au dossier de nouvelles preuves.</w:t>
      </w:r>
    </w:p>
    <w:p w:rsidR="005D44BD"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22</w:t>
      </w:r>
      <w:r>
        <w:rPr>
          <w:lang w:val="fr-FR"/>
        </w:rPr>
        <w:fldChar w:fldCharType="end"/>
      </w:r>
      <w:r>
        <w:rPr>
          <w:lang w:val="fr-FR"/>
        </w:rPr>
        <w:t>.  </w:t>
      </w:r>
      <w:r w:rsidRPr="00E5217F">
        <w:rPr>
          <w:lang w:val="fr-FR"/>
        </w:rPr>
        <w:t>Par un arrêt déposé le 8 janvier 2008, la Cour de</w:t>
      </w:r>
      <w:r>
        <w:rPr>
          <w:lang w:val="fr-FR"/>
        </w:rPr>
        <w:t xml:space="preserve"> cassation débouta le requérant, confirmant la légitimité </w:t>
      </w:r>
      <w:r w:rsidR="00AA3649">
        <w:rPr>
          <w:lang w:val="fr-FR"/>
        </w:rPr>
        <w:t>du dépôt</w:t>
      </w:r>
      <w:r>
        <w:rPr>
          <w:lang w:val="fr-FR"/>
        </w:rPr>
        <w:t xml:space="preserve"> au dossier des déclarations contestées par le requérant et </w:t>
      </w:r>
      <w:r w:rsidRPr="00E5217F">
        <w:rPr>
          <w:lang w:val="fr-FR"/>
        </w:rPr>
        <w:t>rejeta</w:t>
      </w:r>
      <w:r>
        <w:rPr>
          <w:lang w:val="fr-FR"/>
        </w:rPr>
        <w:t>nt</w:t>
      </w:r>
      <w:r w:rsidRPr="00E5217F">
        <w:rPr>
          <w:lang w:val="fr-FR"/>
        </w:rPr>
        <w:t xml:space="preserve"> </w:t>
      </w:r>
      <w:r w:rsidR="006E12D3">
        <w:rPr>
          <w:lang w:val="fr-FR"/>
        </w:rPr>
        <w:t>s</w:t>
      </w:r>
      <w:r w:rsidRPr="00E5217F">
        <w:rPr>
          <w:lang w:val="fr-FR"/>
        </w:rPr>
        <w:t xml:space="preserve">a demande </w:t>
      </w:r>
      <w:r>
        <w:rPr>
          <w:lang w:val="fr-FR"/>
        </w:rPr>
        <w:t>visant à obtenir l</w:t>
      </w:r>
      <w:r w:rsidR="00A14196">
        <w:rPr>
          <w:lang w:val="fr-FR"/>
        </w:rPr>
        <w:t>’</w:t>
      </w:r>
      <w:r>
        <w:rPr>
          <w:lang w:val="fr-FR"/>
        </w:rPr>
        <w:t xml:space="preserve">utilisation </w:t>
      </w:r>
      <w:r w:rsidRPr="00E5217F">
        <w:rPr>
          <w:lang w:val="fr-FR"/>
        </w:rPr>
        <w:t xml:space="preserve">de preuves </w:t>
      </w:r>
      <w:r w:rsidR="00AA3649">
        <w:rPr>
          <w:lang w:val="fr-FR"/>
        </w:rPr>
        <w:t>complémentaires</w:t>
      </w:r>
      <w:r w:rsidRPr="00E5217F">
        <w:rPr>
          <w:lang w:val="fr-FR"/>
        </w:rPr>
        <w:t>.</w:t>
      </w:r>
    </w:p>
    <w:p w:rsidR="00F66B50" w:rsidRPr="00E5217F"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23</w:t>
      </w:r>
      <w:r>
        <w:rPr>
          <w:lang w:val="fr-FR"/>
        </w:rPr>
        <w:fldChar w:fldCharType="end"/>
      </w:r>
      <w:r>
        <w:rPr>
          <w:lang w:val="fr-FR"/>
        </w:rPr>
        <w:t>.  Quant à</w:t>
      </w:r>
      <w:r w:rsidRPr="00E5217F">
        <w:rPr>
          <w:lang w:val="fr-FR"/>
        </w:rPr>
        <w:t xml:space="preserve"> la partie du pourvoi po</w:t>
      </w:r>
      <w:r>
        <w:rPr>
          <w:lang w:val="fr-FR"/>
        </w:rPr>
        <w:t>rtant sur le principe de la non-</w:t>
      </w:r>
      <w:r w:rsidRPr="00E5217F">
        <w:rPr>
          <w:lang w:val="fr-FR"/>
        </w:rPr>
        <w:t>rétroactivité et de la prévisibilité de la loi pénale</w:t>
      </w:r>
      <w:r>
        <w:rPr>
          <w:lang w:val="fr-FR"/>
        </w:rPr>
        <w:t xml:space="preserve">, </w:t>
      </w:r>
      <w:r w:rsidRPr="00E5217F">
        <w:rPr>
          <w:lang w:val="fr-FR"/>
        </w:rPr>
        <w:t>la Cour de cassation considéra que</w:t>
      </w:r>
      <w:r>
        <w:rPr>
          <w:lang w:val="fr-FR"/>
        </w:rPr>
        <w:t xml:space="preserve"> celle-ci</w:t>
      </w:r>
      <w:r w:rsidRPr="00E5217F">
        <w:rPr>
          <w:lang w:val="fr-FR"/>
        </w:rPr>
        <w:t xml:space="preserve"> était manifestement mal fondée car elle comportait un examen sur le fond et non pas </w:t>
      </w:r>
      <w:r w:rsidR="00C46F0E">
        <w:rPr>
          <w:lang w:val="fr-FR"/>
        </w:rPr>
        <w:t>une analyse des prétendues violations de la loi</w:t>
      </w:r>
      <w:r w:rsidR="00B56EF9">
        <w:rPr>
          <w:lang w:val="fr-FR"/>
        </w:rPr>
        <w:t xml:space="preserve"> (</w:t>
      </w:r>
      <w:r w:rsidR="00B56EF9" w:rsidRPr="00B56EF9">
        <w:rPr>
          <w:i/>
          <w:lang w:val="fr-FR"/>
        </w:rPr>
        <w:t>esame di legittimità</w:t>
      </w:r>
      <w:r w:rsidR="00B56EF9">
        <w:rPr>
          <w:lang w:val="fr-FR"/>
        </w:rPr>
        <w:t>)</w:t>
      </w:r>
      <w:r w:rsidRPr="00E5217F">
        <w:rPr>
          <w:lang w:val="fr-FR"/>
        </w:rPr>
        <w:t>.</w:t>
      </w:r>
    </w:p>
    <w:p w:rsidR="00F66B50" w:rsidRPr="00B70088" w:rsidRDefault="00183F4C" w:rsidP="00183F4C">
      <w:pPr>
        <w:pStyle w:val="ECHRHeading2"/>
        <w:rPr>
          <w:lang w:val="fr-FR"/>
        </w:rPr>
      </w:pPr>
      <w:r>
        <w:rPr>
          <w:lang w:val="fr-FR"/>
        </w:rPr>
        <w:t>F</w:t>
      </w:r>
      <w:r w:rsidR="00F66B50" w:rsidRPr="00B70088">
        <w:rPr>
          <w:lang w:val="fr-FR"/>
        </w:rPr>
        <w:t>.</w:t>
      </w:r>
      <w:r>
        <w:rPr>
          <w:lang w:val="fr-FR"/>
        </w:rPr>
        <w:t>  </w:t>
      </w:r>
      <w:r w:rsidR="00F66B50" w:rsidRPr="00B70088">
        <w:rPr>
          <w:lang w:val="fr-FR"/>
        </w:rPr>
        <w:t>La procédure en révision devant la cour d</w:t>
      </w:r>
      <w:r w:rsidR="00A14196">
        <w:rPr>
          <w:lang w:val="fr-FR"/>
        </w:rPr>
        <w:t>’</w:t>
      </w:r>
      <w:r w:rsidR="00F66B50" w:rsidRPr="00B70088">
        <w:rPr>
          <w:lang w:val="fr-FR"/>
        </w:rPr>
        <w:t>appel de Caltanissetta</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24</w:t>
      </w:r>
      <w:r>
        <w:rPr>
          <w:lang w:val="fr-FR"/>
        </w:rPr>
        <w:fldChar w:fldCharType="end"/>
      </w:r>
      <w:r>
        <w:rPr>
          <w:lang w:val="fr-FR"/>
        </w:rPr>
        <w:t>.  </w:t>
      </w:r>
      <w:r w:rsidRPr="00B70088">
        <w:rPr>
          <w:lang w:val="fr-FR"/>
        </w:rPr>
        <w:t>Par un arrêt du 24 septembre 2011, la cour d</w:t>
      </w:r>
      <w:r w:rsidR="00A14196">
        <w:rPr>
          <w:lang w:val="fr-FR"/>
        </w:rPr>
        <w:t>’</w:t>
      </w:r>
      <w:r w:rsidRPr="00B70088">
        <w:rPr>
          <w:lang w:val="fr-FR"/>
        </w:rPr>
        <w:t xml:space="preserve">appel de Caltanissetta </w:t>
      </w:r>
      <w:r>
        <w:rPr>
          <w:lang w:val="fr-FR"/>
        </w:rPr>
        <w:t xml:space="preserve">déclara </w:t>
      </w:r>
      <w:r w:rsidR="007949F3">
        <w:rPr>
          <w:lang w:val="fr-FR"/>
        </w:rPr>
        <w:t xml:space="preserve">irrecevable </w:t>
      </w:r>
      <w:r>
        <w:rPr>
          <w:lang w:val="fr-FR"/>
        </w:rPr>
        <w:t xml:space="preserve">la demande </w:t>
      </w:r>
      <w:r w:rsidRPr="00B70088">
        <w:rPr>
          <w:lang w:val="fr-FR"/>
        </w:rPr>
        <w:t>du requérant d</w:t>
      </w:r>
      <w:r w:rsidR="00A14196">
        <w:rPr>
          <w:lang w:val="fr-FR"/>
        </w:rPr>
        <w:t>’</w:t>
      </w:r>
      <w:r w:rsidRPr="00B70088">
        <w:rPr>
          <w:lang w:val="fr-FR"/>
        </w:rPr>
        <w:t>obtenir la révision de son procès.</w:t>
      </w:r>
    </w:p>
    <w:p w:rsidR="005D44BD"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25</w:t>
      </w:r>
      <w:r>
        <w:rPr>
          <w:lang w:val="fr-FR"/>
        </w:rPr>
        <w:fldChar w:fldCharType="end"/>
      </w:r>
      <w:r>
        <w:rPr>
          <w:lang w:val="fr-FR"/>
        </w:rPr>
        <w:t>.  </w:t>
      </w:r>
      <w:r w:rsidR="00A10E2D">
        <w:rPr>
          <w:lang w:val="fr-FR"/>
        </w:rPr>
        <w:t>L</w:t>
      </w:r>
      <w:r w:rsidRPr="00140728">
        <w:rPr>
          <w:lang w:val="fr-FR"/>
        </w:rPr>
        <w:t>e 25 j</w:t>
      </w:r>
      <w:r>
        <w:rPr>
          <w:lang w:val="fr-FR"/>
        </w:rPr>
        <w:t>uin 2012, la Cour de cassation rejeta</w:t>
      </w:r>
      <w:r w:rsidRPr="00140728">
        <w:rPr>
          <w:lang w:val="fr-FR"/>
        </w:rPr>
        <w:t xml:space="preserve"> </w:t>
      </w:r>
      <w:r w:rsidR="00A10E2D">
        <w:rPr>
          <w:lang w:val="fr-FR"/>
        </w:rPr>
        <w:t>le pourvoi du requérant</w:t>
      </w:r>
      <w:r w:rsidRPr="00140728">
        <w:rPr>
          <w:lang w:val="fr-FR"/>
        </w:rPr>
        <w:t>.</w:t>
      </w:r>
    </w:p>
    <w:p w:rsidR="00F66B50" w:rsidRPr="00AD412E" w:rsidRDefault="00F66B50" w:rsidP="00F66B50">
      <w:pPr>
        <w:pStyle w:val="ECHRHeading1"/>
        <w:rPr>
          <w:lang w:val="fr-FR"/>
        </w:rPr>
      </w:pPr>
      <w:r w:rsidRPr="00AD412E">
        <w:rPr>
          <w:lang w:val="fr-FR"/>
        </w:rPr>
        <w:t>II.  LE DROIT ET LA PRATIQUE INTERNES PERTINENTS</w:t>
      </w:r>
    </w:p>
    <w:p w:rsidR="00F66B50" w:rsidRPr="00C01A83" w:rsidRDefault="00183F4C" w:rsidP="00183F4C">
      <w:pPr>
        <w:pStyle w:val="ECHRHeading2"/>
        <w:rPr>
          <w:lang w:val="fr-FR"/>
        </w:rPr>
      </w:pPr>
      <w:r>
        <w:rPr>
          <w:lang w:val="fr-FR"/>
        </w:rPr>
        <w:t>A</w:t>
      </w:r>
      <w:r w:rsidR="00F66B50" w:rsidRPr="00A93604">
        <w:rPr>
          <w:lang w:val="fr-FR"/>
        </w:rPr>
        <w:t>.</w:t>
      </w:r>
      <w:r>
        <w:rPr>
          <w:lang w:val="fr-FR"/>
        </w:rPr>
        <w:t>  </w:t>
      </w:r>
      <w:r w:rsidR="00F66B50">
        <w:rPr>
          <w:lang w:val="fr-FR"/>
        </w:rPr>
        <w:t>Les articles pertinents du code pénal</w:t>
      </w:r>
      <w:r w:rsidR="00C008B2">
        <w:rPr>
          <w:lang w:val="fr-FR"/>
        </w:rPr>
        <w:t xml:space="preserve"> italien</w:t>
      </w:r>
    </w:p>
    <w:p w:rsidR="00F66B50" w:rsidRPr="00865B1A" w:rsidRDefault="00F66B50" w:rsidP="00007F0E">
      <w:pPr>
        <w:pStyle w:val="ECHRTitleCentre3"/>
        <w:rPr>
          <w:lang w:val="fr-FR"/>
        </w:rPr>
      </w:pPr>
      <w:r w:rsidRPr="00865B1A">
        <w:rPr>
          <w:lang w:val="fr-FR"/>
        </w:rPr>
        <w:t>Article 110</w:t>
      </w:r>
      <w:r>
        <w:rPr>
          <w:lang w:val="fr-FR"/>
        </w:rPr>
        <w:t> :</w:t>
      </w:r>
      <w:r w:rsidRPr="00865B1A">
        <w:rPr>
          <w:lang w:val="fr-FR"/>
        </w:rPr>
        <w:t xml:space="preserve"> Peine </w:t>
      </w:r>
      <w:r w:rsidR="00AB2681">
        <w:rPr>
          <w:lang w:val="fr-FR"/>
        </w:rPr>
        <w:t xml:space="preserve">applicable </w:t>
      </w:r>
      <w:r w:rsidR="000413D2">
        <w:rPr>
          <w:lang w:val="fr-FR"/>
        </w:rPr>
        <w:t>aux personnes participant</w:t>
      </w:r>
      <w:r w:rsidRPr="00865B1A">
        <w:rPr>
          <w:lang w:val="fr-FR"/>
        </w:rPr>
        <w:t xml:space="preserve"> à une infraction</w:t>
      </w:r>
    </w:p>
    <w:p w:rsidR="00F66B50" w:rsidRPr="009E47BE" w:rsidRDefault="00F66B50" w:rsidP="00F66B50">
      <w:pPr>
        <w:pStyle w:val="ECHRParaQuote"/>
        <w:rPr>
          <w:lang w:val="fr-FR"/>
        </w:rPr>
      </w:pPr>
      <w:r>
        <w:rPr>
          <w:lang w:val="fr-FR"/>
        </w:rPr>
        <w:t>« Lorsque plusieurs personnes participent à une même infraction, chacune d</w:t>
      </w:r>
      <w:r w:rsidR="00A14196">
        <w:rPr>
          <w:lang w:val="fr-FR"/>
        </w:rPr>
        <w:t>’</w:t>
      </w:r>
      <w:r>
        <w:rPr>
          <w:lang w:val="fr-FR"/>
        </w:rPr>
        <w:t>entre elles est soumise à la peine prévue pour l</w:t>
      </w:r>
      <w:r w:rsidR="00A14196">
        <w:rPr>
          <w:lang w:val="fr-FR"/>
        </w:rPr>
        <w:t>’</w:t>
      </w:r>
      <w:r>
        <w:rPr>
          <w:lang w:val="fr-FR"/>
        </w:rPr>
        <w:t>infraction en cause (</w:t>
      </w:r>
      <w:r w:rsidR="00E40263">
        <w:rPr>
          <w:lang w:val="fr-FR"/>
        </w:rPr>
        <w:t>...</w:t>
      </w:r>
      <w:r>
        <w:rPr>
          <w:lang w:val="fr-FR"/>
        </w:rPr>
        <w:t>) »</w:t>
      </w:r>
    </w:p>
    <w:p w:rsidR="00F66B50" w:rsidRPr="00865B1A" w:rsidRDefault="00F66B50" w:rsidP="00007F0E">
      <w:pPr>
        <w:pStyle w:val="ECHRTitleCentre3"/>
        <w:rPr>
          <w:lang w:val="fr-FR"/>
        </w:rPr>
      </w:pPr>
      <w:bookmarkStart w:id="4" w:name="art110"/>
      <w:bookmarkEnd w:id="4"/>
      <w:r w:rsidRPr="00865B1A">
        <w:rPr>
          <w:lang w:val="fr-FR"/>
        </w:rPr>
        <w:t>Article 416</w:t>
      </w:r>
      <w:r>
        <w:rPr>
          <w:lang w:val="fr-FR"/>
        </w:rPr>
        <w:t> :</w:t>
      </w:r>
      <w:r w:rsidRPr="00865B1A">
        <w:rPr>
          <w:lang w:val="fr-FR"/>
        </w:rPr>
        <w:t xml:space="preserve"> Association criminelle</w:t>
      </w:r>
    </w:p>
    <w:p w:rsidR="00F66B50" w:rsidRDefault="00F66B50" w:rsidP="00F66B50">
      <w:pPr>
        <w:pStyle w:val="ECHRParaQuote"/>
        <w:rPr>
          <w:lang w:val="fr-FR"/>
        </w:rPr>
      </w:pPr>
      <w:r>
        <w:rPr>
          <w:lang w:val="fr-FR"/>
        </w:rPr>
        <w:t>« </w:t>
      </w:r>
      <w:r w:rsidRPr="009E47BE">
        <w:rPr>
          <w:lang w:val="fr-FR"/>
        </w:rPr>
        <w:t xml:space="preserve">Lorsque </w:t>
      </w:r>
      <w:r>
        <w:rPr>
          <w:lang w:val="fr-FR"/>
        </w:rPr>
        <w:t>de</w:t>
      </w:r>
      <w:r w:rsidR="00362521">
        <w:rPr>
          <w:lang w:val="fr-FR"/>
        </w:rPr>
        <w:t>s</w:t>
      </w:r>
      <w:r>
        <w:rPr>
          <w:lang w:val="fr-FR"/>
        </w:rPr>
        <w:t xml:space="preserve"> personn</w:t>
      </w:r>
      <w:r w:rsidR="00362521">
        <w:rPr>
          <w:lang w:val="fr-FR"/>
        </w:rPr>
        <w:t>es, en nombre égal</w:t>
      </w:r>
      <w:r>
        <w:rPr>
          <w:lang w:val="fr-FR"/>
        </w:rPr>
        <w:t xml:space="preserve"> ou supérieur à trois</w:t>
      </w:r>
      <w:r w:rsidR="00362521">
        <w:rPr>
          <w:lang w:val="fr-FR"/>
        </w:rPr>
        <w:t>,</w:t>
      </w:r>
      <w:r>
        <w:rPr>
          <w:lang w:val="fr-FR"/>
        </w:rPr>
        <w:t xml:space="preserve"> </w:t>
      </w:r>
      <w:r w:rsidRPr="009E47BE">
        <w:rPr>
          <w:lang w:val="fr-FR"/>
        </w:rPr>
        <w:t>s</w:t>
      </w:r>
      <w:r w:rsidR="00A14196">
        <w:rPr>
          <w:lang w:val="fr-FR"/>
        </w:rPr>
        <w:t>’</w:t>
      </w:r>
      <w:r w:rsidRPr="009E47BE">
        <w:rPr>
          <w:lang w:val="fr-FR"/>
        </w:rPr>
        <w:t>associe</w:t>
      </w:r>
      <w:r w:rsidR="00362521">
        <w:rPr>
          <w:lang w:val="fr-FR"/>
        </w:rPr>
        <w:t>nt</w:t>
      </w:r>
      <w:r w:rsidRPr="009E47BE">
        <w:rPr>
          <w:lang w:val="fr-FR"/>
        </w:rPr>
        <w:t xml:space="preserve"> dans l</w:t>
      </w:r>
      <w:r w:rsidR="00A14196">
        <w:rPr>
          <w:lang w:val="fr-FR"/>
        </w:rPr>
        <w:t>’</w:t>
      </w:r>
      <w:r w:rsidRPr="009E47BE">
        <w:rPr>
          <w:lang w:val="fr-FR"/>
        </w:rPr>
        <w:t xml:space="preserve">objectif </w:t>
      </w:r>
      <w:r w:rsidR="0051152A">
        <w:rPr>
          <w:lang w:val="fr-FR"/>
        </w:rPr>
        <w:t xml:space="preserve">de </w:t>
      </w:r>
      <w:r w:rsidR="00C27774">
        <w:rPr>
          <w:lang w:val="fr-FR"/>
        </w:rPr>
        <w:t>commettre</w:t>
      </w:r>
      <w:r w:rsidRPr="009E47BE">
        <w:rPr>
          <w:lang w:val="fr-FR"/>
        </w:rPr>
        <w:t xml:space="preserve"> des délits, ceux qui pr</w:t>
      </w:r>
      <w:r>
        <w:rPr>
          <w:lang w:val="fr-FR"/>
        </w:rPr>
        <w:t>omeuvent, constituent ou organisent l</w:t>
      </w:r>
      <w:r w:rsidR="00A14196">
        <w:rPr>
          <w:lang w:val="fr-FR"/>
        </w:rPr>
        <w:t>’</w:t>
      </w:r>
      <w:r>
        <w:rPr>
          <w:lang w:val="fr-FR"/>
        </w:rPr>
        <w:t xml:space="preserve">association sont punis de ces faits </w:t>
      </w:r>
      <w:r w:rsidR="00CF2569">
        <w:rPr>
          <w:lang w:val="fr-FR"/>
        </w:rPr>
        <w:t>par une peine de</w:t>
      </w:r>
      <w:r>
        <w:rPr>
          <w:lang w:val="fr-FR"/>
        </w:rPr>
        <w:t xml:space="preserve"> réclusion de trois à sept ans.</w:t>
      </w:r>
    </w:p>
    <w:p w:rsidR="00F66B50" w:rsidRDefault="00F66B50" w:rsidP="00F66B50">
      <w:pPr>
        <w:pStyle w:val="ECHRParaQuote"/>
        <w:rPr>
          <w:lang w:val="fr-FR"/>
        </w:rPr>
      </w:pPr>
      <w:r>
        <w:rPr>
          <w:lang w:val="fr-FR"/>
        </w:rPr>
        <w:t>Pour le seul fait de participer à l</w:t>
      </w:r>
      <w:r w:rsidR="00A14196">
        <w:rPr>
          <w:lang w:val="fr-FR"/>
        </w:rPr>
        <w:t>’</w:t>
      </w:r>
      <w:r>
        <w:rPr>
          <w:lang w:val="fr-FR"/>
        </w:rPr>
        <w:t>association, la peine est celle de la réclusion de un à cinq ans.</w:t>
      </w:r>
    </w:p>
    <w:p w:rsidR="00F66B50" w:rsidRPr="009E47BE" w:rsidRDefault="00F66B50" w:rsidP="00F66B50">
      <w:pPr>
        <w:pStyle w:val="ECHRParaQuote"/>
        <w:rPr>
          <w:lang w:val="fr-FR"/>
        </w:rPr>
      </w:pPr>
      <w:r>
        <w:rPr>
          <w:lang w:val="fr-FR"/>
        </w:rPr>
        <w:t>Les chefs sont soumis à la même peine établie par les promoteurs. (</w:t>
      </w:r>
      <w:r w:rsidR="00E40263">
        <w:rPr>
          <w:lang w:val="fr-FR"/>
        </w:rPr>
        <w:t>...</w:t>
      </w:r>
      <w:r>
        <w:rPr>
          <w:lang w:val="fr-FR"/>
        </w:rPr>
        <w:t>) »</w:t>
      </w:r>
    </w:p>
    <w:p w:rsidR="00F66B50" w:rsidRPr="00865B1A" w:rsidRDefault="00F66B50" w:rsidP="00007F0E">
      <w:pPr>
        <w:pStyle w:val="ECHRTitleCentre3"/>
        <w:rPr>
          <w:lang w:val="fr-FR"/>
        </w:rPr>
      </w:pPr>
      <w:bookmarkStart w:id="5" w:name="art416"/>
      <w:bookmarkEnd w:id="5"/>
      <w:r w:rsidRPr="00865B1A">
        <w:rPr>
          <w:lang w:val="fr-FR"/>
        </w:rPr>
        <w:lastRenderedPageBreak/>
        <w:t xml:space="preserve">Article 416 </w:t>
      </w:r>
      <w:r w:rsidRPr="00865B1A">
        <w:rPr>
          <w:i/>
          <w:lang w:val="fr-FR"/>
        </w:rPr>
        <w:t>bis</w:t>
      </w:r>
      <w:r>
        <w:rPr>
          <w:i/>
          <w:lang w:val="fr-FR"/>
        </w:rPr>
        <w:t> </w:t>
      </w:r>
      <w:r w:rsidRPr="0077054F">
        <w:rPr>
          <w:lang w:val="fr-FR"/>
        </w:rPr>
        <w:t>:</w:t>
      </w:r>
      <w:r>
        <w:rPr>
          <w:lang w:val="fr-FR"/>
        </w:rPr>
        <w:t xml:space="preserve"> Association </w:t>
      </w:r>
      <w:r w:rsidR="00314829">
        <w:rPr>
          <w:lang w:val="fr-FR"/>
        </w:rPr>
        <w:t xml:space="preserve">de malfaiteurs </w:t>
      </w:r>
      <w:r>
        <w:rPr>
          <w:lang w:val="fr-FR"/>
        </w:rPr>
        <w:t>de type mafieux</w:t>
      </w:r>
    </w:p>
    <w:p w:rsidR="00F66B50" w:rsidRPr="009E47BE" w:rsidRDefault="00F460BF" w:rsidP="00F66B50">
      <w:pPr>
        <w:pStyle w:val="ECHRParaQuote"/>
        <w:rPr>
          <w:lang w:val="fr-FR"/>
        </w:rPr>
      </w:pPr>
      <w:r>
        <w:rPr>
          <w:rStyle w:val="sfbbfee58"/>
          <w:lang w:val="fr-FR"/>
        </w:rPr>
        <w:t>« </w:t>
      </w:r>
      <w:r w:rsidR="00F66B50" w:rsidRPr="009E47BE">
        <w:rPr>
          <w:rStyle w:val="sfbbfee58"/>
          <w:lang w:val="fr-FR"/>
        </w:rPr>
        <w:t>Quiconque fait partie d</w:t>
      </w:r>
      <w:r w:rsidR="00A14196">
        <w:rPr>
          <w:rStyle w:val="sfbbfee58"/>
          <w:lang w:val="fr-FR"/>
        </w:rPr>
        <w:t>’</w:t>
      </w:r>
      <w:r w:rsidR="00F66B50" w:rsidRPr="009E47BE">
        <w:rPr>
          <w:rStyle w:val="sfbbfee58"/>
          <w:lang w:val="fr-FR"/>
        </w:rPr>
        <w:t>une association de type mafieux</w:t>
      </w:r>
      <w:r w:rsidR="008B5143">
        <w:rPr>
          <w:rStyle w:val="sfbbfee58"/>
          <w:lang w:val="fr-FR"/>
        </w:rPr>
        <w:t>,</w:t>
      </w:r>
      <w:r w:rsidR="00F66B50" w:rsidRPr="009E47BE">
        <w:rPr>
          <w:rStyle w:val="sfbbfee58"/>
          <w:lang w:val="fr-FR"/>
        </w:rPr>
        <w:t xml:space="preserve"> composée de trois personnes ou plus, est passible de la réclusion criminelle</w:t>
      </w:r>
      <w:r w:rsidR="008B5143">
        <w:rPr>
          <w:rStyle w:val="sfbbfee58"/>
          <w:lang w:val="fr-FR"/>
        </w:rPr>
        <w:t>.</w:t>
      </w:r>
      <w:r w:rsidR="00F66B50" w:rsidRPr="009E47BE">
        <w:rPr>
          <w:rStyle w:val="sfbbfee58"/>
          <w:lang w:val="fr-FR"/>
        </w:rPr>
        <w:t xml:space="preserve"> (...)</w:t>
      </w:r>
    </w:p>
    <w:p w:rsidR="00F66B50" w:rsidRPr="009E47BE" w:rsidRDefault="00F66B50" w:rsidP="00F66B50">
      <w:pPr>
        <w:pStyle w:val="ECHRParaQuote"/>
        <w:rPr>
          <w:lang w:val="fr-FR"/>
        </w:rPr>
      </w:pPr>
      <w:r w:rsidRPr="009E47BE">
        <w:rPr>
          <w:rStyle w:val="sfbbfee58"/>
          <w:lang w:val="fr-FR"/>
        </w:rPr>
        <w:t>L</w:t>
      </w:r>
      <w:r w:rsidR="00A14196">
        <w:rPr>
          <w:rStyle w:val="sfbbfee58"/>
          <w:lang w:val="fr-FR"/>
        </w:rPr>
        <w:t>’</w:t>
      </w:r>
      <w:r w:rsidRPr="009E47BE">
        <w:rPr>
          <w:rStyle w:val="sfbbfee58"/>
          <w:lang w:val="fr-FR"/>
        </w:rPr>
        <w:t>association est de type mafieux lorsque ceux qui en font partie se servent de la force d</w:t>
      </w:r>
      <w:r w:rsidR="00A14196">
        <w:rPr>
          <w:rStyle w:val="sfbbfee58"/>
          <w:lang w:val="fr-FR"/>
        </w:rPr>
        <w:t>’</w:t>
      </w:r>
      <w:r w:rsidRPr="009E47BE">
        <w:rPr>
          <w:rStyle w:val="sfbbfee58"/>
          <w:lang w:val="fr-FR"/>
        </w:rPr>
        <w:t>intimidation du lien associatif et de la condition d</w:t>
      </w:r>
      <w:r w:rsidR="00A14196">
        <w:rPr>
          <w:rStyle w:val="sfbbfee58"/>
          <w:lang w:val="fr-FR"/>
        </w:rPr>
        <w:t>’</w:t>
      </w:r>
      <w:r w:rsidRPr="009E47BE">
        <w:rPr>
          <w:rStyle w:val="sfbbfee58"/>
          <w:lang w:val="fr-FR"/>
        </w:rPr>
        <w:t>assujettissement et de complicité tacite en résultant, afin de commettre des délits, de se procurer directement ou indirectement la gestion ou autrement le contrôle d</w:t>
      </w:r>
      <w:r w:rsidR="00A14196">
        <w:rPr>
          <w:rStyle w:val="sfbbfee58"/>
          <w:lang w:val="fr-FR"/>
        </w:rPr>
        <w:t>’</w:t>
      </w:r>
      <w:r w:rsidRPr="009E47BE">
        <w:rPr>
          <w:rStyle w:val="sfbbfee58"/>
          <w:lang w:val="fr-FR"/>
        </w:rPr>
        <w:t>activités économiques, de concessions, d</w:t>
      </w:r>
      <w:r w:rsidR="00A14196">
        <w:rPr>
          <w:rStyle w:val="sfbbfee58"/>
          <w:lang w:val="fr-FR"/>
        </w:rPr>
        <w:t>’</w:t>
      </w:r>
      <w:r w:rsidRPr="009E47BE">
        <w:rPr>
          <w:rStyle w:val="sfbbfee58"/>
          <w:lang w:val="fr-FR"/>
        </w:rPr>
        <w:t>autorisations, adjudications ou services publics ou pour réaliser des bénéfices ou des profits injustes pour les membres ou pour d</w:t>
      </w:r>
      <w:r w:rsidR="00A14196">
        <w:rPr>
          <w:rStyle w:val="sfbbfee58"/>
          <w:lang w:val="fr-FR"/>
        </w:rPr>
        <w:t>’</w:t>
      </w:r>
      <w:r w:rsidRPr="009E47BE">
        <w:rPr>
          <w:rStyle w:val="sfbbfee58"/>
          <w:lang w:val="fr-FR"/>
        </w:rPr>
        <w:t>autres personnes, ou encore afin d</w:t>
      </w:r>
      <w:r w:rsidR="00A14196">
        <w:rPr>
          <w:rStyle w:val="sfbbfee58"/>
          <w:lang w:val="fr-FR"/>
        </w:rPr>
        <w:t>’</w:t>
      </w:r>
      <w:r w:rsidRPr="009E47BE">
        <w:rPr>
          <w:rStyle w:val="sfbbfee58"/>
          <w:lang w:val="fr-FR"/>
        </w:rPr>
        <w:t>empêcher ou entraver le libre exercice du droit de vote ou de procurer des voix aux membres ou à d</w:t>
      </w:r>
      <w:r w:rsidR="00A14196">
        <w:rPr>
          <w:rStyle w:val="sfbbfee58"/>
          <w:lang w:val="fr-FR"/>
        </w:rPr>
        <w:t>’</w:t>
      </w:r>
      <w:r w:rsidRPr="009E47BE">
        <w:rPr>
          <w:rStyle w:val="sfbbfee58"/>
          <w:lang w:val="fr-FR"/>
        </w:rPr>
        <w:t>autres personnes lors de consultations électorales.</w:t>
      </w:r>
    </w:p>
    <w:p w:rsidR="00F66B50" w:rsidRPr="00EA44C7" w:rsidRDefault="00F66B50" w:rsidP="00F66B50">
      <w:pPr>
        <w:pStyle w:val="ECHRParaQuote"/>
        <w:rPr>
          <w:lang w:val="fr-FR"/>
        </w:rPr>
      </w:pPr>
      <w:r w:rsidRPr="00EA44C7">
        <w:rPr>
          <w:rStyle w:val="sfbbfee58"/>
          <w:lang w:val="fr-FR"/>
        </w:rPr>
        <w:t>(...) »</w:t>
      </w:r>
    </w:p>
    <w:p w:rsidR="00F66B50" w:rsidRDefault="00183F4C" w:rsidP="00183F4C">
      <w:pPr>
        <w:pStyle w:val="ECHRHeading2"/>
        <w:rPr>
          <w:lang w:val="fr-FR"/>
        </w:rPr>
      </w:pPr>
      <w:r>
        <w:rPr>
          <w:lang w:val="fr-FR"/>
        </w:rPr>
        <w:t>B</w:t>
      </w:r>
      <w:r w:rsidR="00F66B50" w:rsidRPr="00A93604">
        <w:rPr>
          <w:lang w:val="fr-FR"/>
        </w:rPr>
        <w:t>.</w:t>
      </w:r>
      <w:r>
        <w:rPr>
          <w:lang w:val="fr-FR"/>
        </w:rPr>
        <w:t>  </w:t>
      </w:r>
      <w:r w:rsidR="00F66B50" w:rsidRPr="00A93604">
        <w:rPr>
          <w:lang w:val="fr-FR"/>
        </w:rPr>
        <w:t>L</w:t>
      </w:r>
      <w:r w:rsidR="00A14196">
        <w:rPr>
          <w:lang w:val="fr-FR"/>
        </w:rPr>
        <w:t>’</w:t>
      </w:r>
      <w:r w:rsidR="00F66B50" w:rsidRPr="00A93604">
        <w:rPr>
          <w:lang w:val="fr-FR"/>
        </w:rPr>
        <w:t>évolution de la jurisprudence interne concernant la prévision de l</w:t>
      </w:r>
      <w:r w:rsidR="00A14196">
        <w:rPr>
          <w:lang w:val="fr-FR"/>
        </w:rPr>
        <w:t>’</w:t>
      </w:r>
      <w:r w:rsidR="00F66B50" w:rsidRPr="00A93604">
        <w:rPr>
          <w:lang w:val="fr-FR"/>
        </w:rPr>
        <w:t xml:space="preserve">infraction </w:t>
      </w:r>
      <w:r w:rsidR="009E60AC">
        <w:rPr>
          <w:lang w:val="fr-FR"/>
        </w:rPr>
        <w:t xml:space="preserve">de </w:t>
      </w:r>
      <w:r w:rsidR="00F66B50" w:rsidRPr="00F54A22">
        <w:rPr>
          <w:lang w:val="fr-FR"/>
        </w:rPr>
        <w:t>concours e</w:t>
      </w:r>
      <w:r w:rsidR="009E60AC">
        <w:rPr>
          <w:lang w:val="fr-FR"/>
        </w:rPr>
        <w:t xml:space="preserve">xterne en association </w:t>
      </w:r>
      <w:r w:rsidR="006E1AE8">
        <w:rPr>
          <w:lang w:val="fr-FR"/>
        </w:rPr>
        <w:t xml:space="preserve">de type </w:t>
      </w:r>
      <w:r w:rsidR="009E60AC">
        <w:rPr>
          <w:lang w:val="fr-FR"/>
        </w:rPr>
        <w:t>mafieu</w:t>
      </w:r>
      <w:r w:rsidR="006E1AE8">
        <w:rPr>
          <w:lang w:val="fr-FR"/>
        </w:rPr>
        <w:t>x</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26</w:t>
      </w:r>
      <w:r>
        <w:rPr>
          <w:lang w:val="fr-FR"/>
        </w:rPr>
        <w:fldChar w:fldCharType="end"/>
      </w:r>
      <w:r>
        <w:rPr>
          <w:lang w:val="fr-FR"/>
        </w:rPr>
        <w:t xml:space="preserve">.  Dans leurs observations, les parties ont envoyé une liste exhaustive des affaires traitées par la Cour </w:t>
      </w:r>
      <w:r w:rsidR="00AD735C">
        <w:rPr>
          <w:lang w:val="fr-FR"/>
        </w:rPr>
        <w:t xml:space="preserve">de cassation en matière de </w:t>
      </w:r>
      <w:r>
        <w:rPr>
          <w:lang w:val="fr-FR"/>
        </w:rPr>
        <w:t>concours e</w:t>
      </w:r>
      <w:r w:rsidR="00AD735C">
        <w:rPr>
          <w:lang w:val="fr-FR"/>
        </w:rPr>
        <w:t xml:space="preserve">xterne en association </w:t>
      </w:r>
      <w:r w:rsidR="00282A5F">
        <w:rPr>
          <w:lang w:val="fr-FR"/>
        </w:rPr>
        <w:t>de type mafieux</w:t>
      </w:r>
      <w:r>
        <w:rPr>
          <w:lang w:val="fr-FR"/>
        </w:rPr>
        <w:t>.</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27</w:t>
      </w:r>
      <w:r>
        <w:rPr>
          <w:lang w:val="fr-FR"/>
        </w:rPr>
        <w:fldChar w:fldCharType="end"/>
      </w:r>
      <w:r>
        <w:rPr>
          <w:lang w:val="fr-FR"/>
        </w:rPr>
        <w:t>.  Il ressort de celle-ci que</w:t>
      </w:r>
      <w:r w:rsidR="007B5E69">
        <w:rPr>
          <w:lang w:val="fr-FR"/>
        </w:rPr>
        <w:t xml:space="preserve"> le premier arrêt dans lequel cette </w:t>
      </w:r>
      <w:r>
        <w:rPr>
          <w:lang w:val="fr-FR"/>
        </w:rPr>
        <w:t>infraction est mentionnée est l</w:t>
      </w:r>
      <w:r w:rsidR="00A14196">
        <w:rPr>
          <w:lang w:val="fr-FR"/>
        </w:rPr>
        <w:t>’</w:t>
      </w:r>
      <w:r>
        <w:rPr>
          <w:lang w:val="fr-FR"/>
        </w:rPr>
        <w:t xml:space="preserve">arrêt </w:t>
      </w:r>
      <w:r w:rsidRPr="0025431C">
        <w:rPr>
          <w:i/>
          <w:lang w:val="fr-FR"/>
        </w:rPr>
        <w:t>Cillari</w:t>
      </w:r>
      <w:r>
        <w:rPr>
          <w:i/>
          <w:lang w:val="fr-FR"/>
        </w:rPr>
        <w:t xml:space="preserve">, </w:t>
      </w:r>
      <w:r w:rsidR="009C17F2">
        <w:rPr>
          <w:lang w:val="fr-FR"/>
        </w:rPr>
        <w:t>n</w:t>
      </w:r>
      <w:r w:rsidR="00E40263" w:rsidRPr="00E40263">
        <w:rPr>
          <w:vertAlign w:val="superscript"/>
          <w:lang w:val="fr-FR"/>
        </w:rPr>
        <w:t>o</w:t>
      </w:r>
      <w:r w:rsidR="009C17F2">
        <w:rPr>
          <w:lang w:val="fr-FR"/>
        </w:rPr>
        <w:t xml:space="preserve"> 8092</w:t>
      </w:r>
      <w:r>
        <w:rPr>
          <w:lang w:val="fr-FR"/>
        </w:rPr>
        <w:t xml:space="preserve"> du 14 juillet 1987. Dans celui-ci la Cour de cassation </w:t>
      </w:r>
      <w:r w:rsidR="00F46DB2">
        <w:rPr>
          <w:lang w:val="fr-FR"/>
        </w:rPr>
        <w:t>réfuta</w:t>
      </w:r>
      <w:r>
        <w:rPr>
          <w:lang w:val="fr-FR"/>
        </w:rPr>
        <w:t xml:space="preserve"> explicitement l</w:t>
      </w:r>
      <w:r w:rsidR="00A14196">
        <w:rPr>
          <w:lang w:val="fr-FR"/>
        </w:rPr>
        <w:t>’</w:t>
      </w:r>
      <w:r>
        <w:rPr>
          <w:lang w:val="fr-FR"/>
        </w:rPr>
        <w:t>existence d</w:t>
      </w:r>
      <w:r w:rsidR="00A14196">
        <w:rPr>
          <w:lang w:val="fr-FR"/>
        </w:rPr>
        <w:t>’</w:t>
      </w:r>
      <w:r>
        <w:rPr>
          <w:lang w:val="fr-FR"/>
        </w:rPr>
        <w:t>une telle infraction. Dans l</w:t>
      </w:r>
      <w:r w:rsidR="00A14196">
        <w:rPr>
          <w:lang w:val="fr-FR"/>
        </w:rPr>
        <w:t>’</w:t>
      </w:r>
      <w:r>
        <w:rPr>
          <w:lang w:val="fr-FR"/>
        </w:rPr>
        <w:t xml:space="preserve">arrêt </w:t>
      </w:r>
      <w:r w:rsidRPr="00AC2BCB">
        <w:rPr>
          <w:i/>
          <w:lang w:val="fr-FR"/>
        </w:rPr>
        <w:t>Agostani</w:t>
      </w:r>
      <w:r w:rsidR="009C17F2">
        <w:rPr>
          <w:lang w:val="fr-FR"/>
        </w:rPr>
        <w:t>, n</w:t>
      </w:r>
      <w:r w:rsidR="00E40263" w:rsidRPr="00E40263">
        <w:rPr>
          <w:vertAlign w:val="superscript"/>
          <w:lang w:val="fr-FR"/>
        </w:rPr>
        <w:t>o</w:t>
      </w:r>
      <w:r w:rsidR="009C17F2">
        <w:rPr>
          <w:lang w:val="fr-FR"/>
        </w:rPr>
        <w:t> 8864</w:t>
      </w:r>
      <w:r>
        <w:rPr>
          <w:lang w:val="fr-FR"/>
        </w:rPr>
        <w:t xml:space="preserve"> du 27 juin 1989, la Cour parvint aux mêmes conclusions. Plus tard, dans les arrêts </w:t>
      </w:r>
      <w:r w:rsidRPr="009443E1">
        <w:rPr>
          <w:i/>
          <w:lang w:val="fr-FR"/>
        </w:rPr>
        <w:t>Abbate</w:t>
      </w:r>
      <w:r>
        <w:rPr>
          <w:lang w:val="fr-FR"/>
        </w:rPr>
        <w:t xml:space="preserve"> et </w:t>
      </w:r>
      <w:r w:rsidRPr="009443E1">
        <w:rPr>
          <w:i/>
          <w:lang w:val="fr-FR"/>
        </w:rPr>
        <w:t>Clementi</w:t>
      </w:r>
      <w:r>
        <w:rPr>
          <w:lang w:val="fr-FR"/>
        </w:rPr>
        <w:t>, n</w:t>
      </w:r>
      <w:r w:rsidR="00E40263" w:rsidRPr="00E40263">
        <w:rPr>
          <w:vertAlign w:val="superscript"/>
          <w:lang w:val="fr-FR"/>
        </w:rPr>
        <w:t>o</w:t>
      </w:r>
      <w:r w:rsidRPr="009443E1">
        <w:rPr>
          <w:vertAlign w:val="superscript"/>
          <w:lang w:val="fr-FR"/>
        </w:rPr>
        <w:t>s</w:t>
      </w:r>
      <w:r>
        <w:rPr>
          <w:lang w:val="fr-FR"/>
        </w:rPr>
        <w:t xml:space="preserve"> 2342 et 2348 du 27 juin 1994</w:t>
      </w:r>
      <w:r w:rsidR="009C17F2">
        <w:rPr>
          <w:lang w:val="fr-FR"/>
        </w:rPr>
        <w:t>,</w:t>
      </w:r>
      <w:r>
        <w:rPr>
          <w:lang w:val="fr-FR"/>
        </w:rPr>
        <w:t xml:space="preserve"> la Cour </w:t>
      </w:r>
      <w:r w:rsidR="00A22196">
        <w:rPr>
          <w:lang w:val="fr-FR"/>
        </w:rPr>
        <w:t>démentit</w:t>
      </w:r>
      <w:r>
        <w:rPr>
          <w:lang w:val="fr-FR"/>
        </w:rPr>
        <w:t xml:space="preserve"> également l</w:t>
      </w:r>
      <w:r w:rsidR="00A14196">
        <w:rPr>
          <w:lang w:val="fr-FR"/>
        </w:rPr>
        <w:t>’</w:t>
      </w:r>
      <w:r>
        <w:rPr>
          <w:lang w:val="fr-FR"/>
        </w:rPr>
        <w:t>existence en droit interne de l</w:t>
      </w:r>
      <w:r w:rsidR="00A14196">
        <w:rPr>
          <w:lang w:val="fr-FR"/>
        </w:rPr>
        <w:t>’</w:t>
      </w:r>
      <w:r>
        <w:rPr>
          <w:lang w:val="fr-FR"/>
        </w:rPr>
        <w:t xml:space="preserve">infraction de concours externe en association </w:t>
      </w:r>
      <w:r w:rsidR="00C46A48">
        <w:rPr>
          <w:lang w:val="fr-FR"/>
        </w:rPr>
        <w:t>de type mafieux</w:t>
      </w:r>
      <w:r>
        <w:rPr>
          <w:lang w:val="fr-FR"/>
        </w:rPr>
        <w:t>.</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28</w:t>
      </w:r>
      <w:r>
        <w:rPr>
          <w:lang w:val="fr-FR"/>
        </w:rPr>
        <w:fldChar w:fldCharType="end"/>
      </w:r>
      <w:r>
        <w:rPr>
          <w:lang w:val="fr-FR"/>
        </w:rPr>
        <w:t>.  Entre-temps, dans l</w:t>
      </w:r>
      <w:r w:rsidR="00A14196">
        <w:rPr>
          <w:lang w:val="fr-FR"/>
        </w:rPr>
        <w:t>’</w:t>
      </w:r>
      <w:r>
        <w:rPr>
          <w:lang w:val="fr-FR"/>
        </w:rPr>
        <w:t xml:space="preserve">arrêt </w:t>
      </w:r>
      <w:r w:rsidRPr="00B32A4E">
        <w:rPr>
          <w:i/>
          <w:lang w:val="fr-FR"/>
        </w:rPr>
        <w:t>Altivalle</w:t>
      </w:r>
      <w:r w:rsidR="009C17F2">
        <w:rPr>
          <w:lang w:val="fr-FR"/>
        </w:rPr>
        <w:t>, n</w:t>
      </w:r>
      <w:r w:rsidR="00E40263" w:rsidRPr="00E40263">
        <w:rPr>
          <w:vertAlign w:val="superscript"/>
          <w:lang w:val="fr-FR"/>
        </w:rPr>
        <w:t>o</w:t>
      </w:r>
      <w:r w:rsidR="009C17F2">
        <w:rPr>
          <w:lang w:val="fr-FR"/>
        </w:rPr>
        <w:t xml:space="preserve"> 3492</w:t>
      </w:r>
      <w:r>
        <w:rPr>
          <w:lang w:val="fr-FR"/>
        </w:rPr>
        <w:t xml:space="preserve"> du 13 juin 1987, la Cour de cassation reconnut l</w:t>
      </w:r>
      <w:r w:rsidR="00A14196">
        <w:rPr>
          <w:lang w:val="fr-FR"/>
        </w:rPr>
        <w:t>’</w:t>
      </w:r>
      <w:r>
        <w:rPr>
          <w:lang w:val="fr-FR"/>
        </w:rPr>
        <w:t xml:space="preserve">existence du concours éventuel en association </w:t>
      </w:r>
      <w:r w:rsidR="00C46A48">
        <w:rPr>
          <w:lang w:val="fr-FR"/>
        </w:rPr>
        <w:t xml:space="preserve">de type mafieux </w:t>
      </w:r>
      <w:r>
        <w:rPr>
          <w:lang w:val="fr-FR"/>
        </w:rPr>
        <w:t>dans la limite des infractions dites « d</w:t>
      </w:r>
      <w:r w:rsidR="00A14196">
        <w:rPr>
          <w:lang w:val="fr-FR"/>
        </w:rPr>
        <w:t>’</w:t>
      </w:r>
      <w:r>
        <w:rPr>
          <w:lang w:val="fr-FR"/>
        </w:rPr>
        <w:t>accord », c</w:t>
      </w:r>
      <w:r w:rsidR="00A14196">
        <w:rPr>
          <w:lang w:val="fr-FR"/>
        </w:rPr>
        <w:t>’</w:t>
      </w:r>
      <w:r>
        <w:rPr>
          <w:lang w:val="fr-FR"/>
        </w:rPr>
        <w:t>est-à-dire, les infractions de type associatif dans lesquelles les volontés de l</w:t>
      </w:r>
      <w:r w:rsidR="00A14196">
        <w:rPr>
          <w:lang w:val="fr-FR"/>
        </w:rPr>
        <w:t>’</w:t>
      </w:r>
      <w:r>
        <w:rPr>
          <w:lang w:val="fr-FR"/>
        </w:rPr>
        <w:t>ensemble des individus impliqués dans les faits ont pour but la réalisation d</w:t>
      </w:r>
      <w:r w:rsidR="00A14196">
        <w:rPr>
          <w:lang w:val="fr-FR"/>
        </w:rPr>
        <w:t>’</w:t>
      </w:r>
      <w:r>
        <w:rPr>
          <w:lang w:val="fr-FR"/>
        </w:rPr>
        <w:t>un objectif commun. L</w:t>
      </w:r>
      <w:r w:rsidR="00A14196">
        <w:rPr>
          <w:lang w:val="fr-FR"/>
        </w:rPr>
        <w:t>’</w:t>
      </w:r>
      <w:r>
        <w:rPr>
          <w:lang w:val="fr-FR"/>
        </w:rPr>
        <w:t xml:space="preserve">arrêt </w:t>
      </w:r>
      <w:r w:rsidRPr="003C2FA3">
        <w:rPr>
          <w:i/>
          <w:lang w:val="fr-FR"/>
        </w:rPr>
        <w:t>Barbella</w:t>
      </w:r>
      <w:r>
        <w:rPr>
          <w:lang w:val="fr-FR"/>
        </w:rPr>
        <w:t>, n</w:t>
      </w:r>
      <w:r w:rsidR="00E40263" w:rsidRPr="00E40263">
        <w:rPr>
          <w:vertAlign w:val="superscript"/>
          <w:lang w:val="fr-FR"/>
        </w:rPr>
        <w:t>o</w:t>
      </w:r>
      <w:r>
        <w:rPr>
          <w:lang w:val="fr-FR"/>
        </w:rPr>
        <w:t xml:space="preserve"> 9242 du 4 février 1988, fit également référence à l</w:t>
      </w:r>
      <w:r w:rsidR="00A14196">
        <w:rPr>
          <w:lang w:val="fr-FR"/>
        </w:rPr>
        <w:t>’</w:t>
      </w:r>
      <w:r>
        <w:rPr>
          <w:lang w:val="fr-FR"/>
        </w:rPr>
        <w:t>infraction en cause, en mettant l</w:t>
      </w:r>
      <w:r w:rsidR="00A14196">
        <w:rPr>
          <w:lang w:val="fr-FR"/>
        </w:rPr>
        <w:t>’</w:t>
      </w:r>
      <w:r>
        <w:rPr>
          <w:lang w:val="fr-FR"/>
        </w:rPr>
        <w:t>accent sur la nature épisodique des agissements de l</w:t>
      </w:r>
      <w:r w:rsidR="00A14196">
        <w:rPr>
          <w:lang w:val="fr-FR"/>
        </w:rPr>
        <w:t>’</w:t>
      </w:r>
      <w:r>
        <w:rPr>
          <w:lang w:val="fr-FR"/>
        </w:rPr>
        <w:t xml:space="preserve">auteur des faits. Les arrêts </w:t>
      </w:r>
      <w:r w:rsidRPr="001C30AE">
        <w:rPr>
          <w:i/>
          <w:lang w:val="fr-FR"/>
        </w:rPr>
        <w:t>Altomonte</w:t>
      </w:r>
      <w:r>
        <w:rPr>
          <w:i/>
          <w:lang w:val="fr-FR"/>
        </w:rPr>
        <w:t>,</w:t>
      </w:r>
      <w:r>
        <w:rPr>
          <w:lang w:val="fr-FR"/>
        </w:rPr>
        <w:t xml:space="preserve"> n</w:t>
      </w:r>
      <w:r w:rsidR="00E40263" w:rsidRPr="00E40263">
        <w:rPr>
          <w:vertAlign w:val="superscript"/>
          <w:lang w:val="fr-FR"/>
        </w:rPr>
        <w:t>o</w:t>
      </w:r>
      <w:r>
        <w:rPr>
          <w:lang w:val="fr-FR"/>
        </w:rPr>
        <w:t xml:space="preserve"> 4805 du 23 novembre 1992, </w:t>
      </w:r>
      <w:r w:rsidRPr="001C767B">
        <w:rPr>
          <w:i/>
          <w:lang w:val="fr-FR"/>
        </w:rPr>
        <w:t>Turiano</w:t>
      </w:r>
      <w:r>
        <w:rPr>
          <w:lang w:val="fr-FR"/>
        </w:rPr>
        <w:t>, n</w:t>
      </w:r>
      <w:r w:rsidR="00E40263" w:rsidRPr="00E40263">
        <w:rPr>
          <w:vertAlign w:val="superscript"/>
          <w:lang w:val="fr-FR"/>
        </w:rPr>
        <w:t>o</w:t>
      </w:r>
      <w:r>
        <w:rPr>
          <w:lang w:val="fr-FR"/>
        </w:rPr>
        <w:t xml:space="preserve"> 2902 du 18 juin 1993 et </w:t>
      </w:r>
      <w:r>
        <w:rPr>
          <w:i/>
          <w:lang w:val="fr-FR"/>
        </w:rPr>
        <w:t>Di Corrado</w:t>
      </w:r>
      <w:r w:rsidR="009C17F2">
        <w:rPr>
          <w:lang w:val="fr-FR"/>
        </w:rPr>
        <w:t>,</w:t>
      </w:r>
      <w:r>
        <w:rPr>
          <w:lang w:val="fr-FR"/>
        </w:rPr>
        <w:t xml:space="preserve"> du 31 août 1993</w:t>
      </w:r>
      <w:r w:rsidR="009C17F2">
        <w:rPr>
          <w:lang w:val="fr-FR"/>
        </w:rPr>
        <w:t>,</w:t>
      </w:r>
      <w:r>
        <w:rPr>
          <w:lang w:val="fr-FR"/>
        </w:rPr>
        <w:t xml:space="preserve"> confirmèrent en substance cette approche.</w:t>
      </w:r>
    </w:p>
    <w:p w:rsidR="00B668C8" w:rsidRDefault="00F66B50" w:rsidP="006F70A1">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29</w:t>
      </w:r>
      <w:r>
        <w:rPr>
          <w:lang w:val="fr-FR"/>
        </w:rPr>
        <w:fldChar w:fldCharType="end"/>
      </w:r>
      <w:r>
        <w:rPr>
          <w:lang w:val="fr-FR"/>
        </w:rPr>
        <w:t>.  Ce n</w:t>
      </w:r>
      <w:r w:rsidR="00A14196">
        <w:rPr>
          <w:lang w:val="fr-FR"/>
        </w:rPr>
        <w:t>’</w:t>
      </w:r>
      <w:r>
        <w:rPr>
          <w:lang w:val="fr-FR"/>
        </w:rPr>
        <w:t>est que dans l</w:t>
      </w:r>
      <w:r w:rsidR="00A14196">
        <w:rPr>
          <w:lang w:val="fr-FR"/>
        </w:rPr>
        <w:t>’</w:t>
      </w:r>
      <w:r>
        <w:rPr>
          <w:lang w:val="fr-FR"/>
        </w:rPr>
        <w:t xml:space="preserve">arrêt </w:t>
      </w:r>
      <w:r w:rsidRPr="009C4FD5">
        <w:rPr>
          <w:i/>
          <w:lang w:val="fr-FR"/>
        </w:rPr>
        <w:t>Demitry</w:t>
      </w:r>
      <w:r>
        <w:rPr>
          <w:lang w:val="fr-FR"/>
        </w:rPr>
        <w:t xml:space="preserve">, prononcé par les Sections Unies de la Cour de cassation le 5 octobre 1994, que celle-ci fournit pour la première fois une élaboration de la matière en objet, faisant état des </w:t>
      </w:r>
      <w:r w:rsidR="007F196E">
        <w:rPr>
          <w:lang w:val="fr-FR"/>
        </w:rPr>
        <w:t xml:space="preserve">arrêts ayant </w:t>
      </w:r>
      <w:r w:rsidR="00A22196">
        <w:rPr>
          <w:lang w:val="fr-FR"/>
        </w:rPr>
        <w:t>réfuté</w:t>
      </w:r>
      <w:r w:rsidR="007F196E">
        <w:rPr>
          <w:lang w:val="fr-FR"/>
        </w:rPr>
        <w:t xml:space="preserve"> et de ceux ayant reconnu </w:t>
      </w:r>
      <w:r>
        <w:rPr>
          <w:lang w:val="fr-FR"/>
        </w:rPr>
        <w:t>l</w:t>
      </w:r>
      <w:r w:rsidR="00A14196">
        <w:rPr>
          <w:lang w:val="fr-FR"/>
        </w:rPr>
        <w:t>’</w:t>
      </w:r>
      <w:r>
        <w:rPr>
          <w:lang w:val="fr-FR"/>
        </w:rPr>
        <w:t>infraction litigieuse et admettant de manière explicit</w:t>
      </w:r>
      <w:r w:rsidR="007B5E69">
        <w:rPr>
          <w:lang w:val="fr-FR"/>
        </w:rPr>
        <w:t>e</w:t>
      </w:r>
      <w:r>
        <w:rPr>
          <w:lang w:val="fr-FR"/>
        </w:rPr>
        <w:t xml:space="preserve"> l</w:t>
      </w:r>
      <w:r w:rsidR="00A14196">
        <w:rPr>
          <w:lang w:val="fr-FR"/>
        </w:rPr>
        <w:t>’</w:t>
      </w:r>
      <w:r>
        <w:rPr>
          <w:lang w:val="fr-FR"/>
        </w:rPr>
        <w:t>existence de l</w:t>
      </w:r>
      <w:r w:rsidR="00A14196">
        <w:rPr>
          <w:lang w:val="fr-FR"/>
        </w:rPr>
        <w:t>’</w:t>
      </w:r>
      <w:r>
        <w:rPr>
          <w:lang w:val="fr-FR"/>
        </w:rPr>
        <w:t xml:space="preserve">infraction de concours externe en association </w:t>
      </w:r>
      <w:r w:rsidR="00C46A48">
        <w:rPr>
          <w:lang w:val="fr-FR"/>
        </w:rPr>
        <w:t xml:space="preserve">de type mafieux </w:t>
      </w:r>
      <w:r>
        <w:rPr>
          <w:lang w:val="fr-FR"/>
        </w:rPr>
        <w:t>dans l</w:t>
      </w:r>
      <w:r w:rsidR="00A14196">
        <w:rPr>
          <w:lang w:val="fr-FR"/>
        </w:rPr>
        <w:t>’</w:t>
      </w:r>
      <w:r>
        <w:rPr>
          <w:lang w:val="fr-FR"/>
        </w:rPr>
        <w:t>ordre juridique interne.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30</w:t>
      </w:r>
      <w:r>
        <w:rPr>
          <w:lang w:val="fr-FR"/>
        </w:rPr>
        <w:fldChar w:fldCharType="end"/>
      </w:r>
      <w:r>
        <w:rPr>
          <w:lang w:val="fr-FR"/>
        </w:rPr>
        <w:t>.  Cette même approche fut ensuite confirmée dans d</w:t>
      </w:r>
      <w:r w:rsidR="00A14196">
        <w:rPr>
          <w:lang w:val="fr-FR"/>
        </w:rPr>
        <w:t>’</w:t>
      </w:r>
      <w:r>
        <w:rPr>
          <w:lang w:val="fr-FR"/>
        </w:rPr>
        <w:t>autres arrêts, tels que</w:t>
      </w:r>
      <w:r w:rsidR="008B2DE4">
        <w:rPr>
          <w:lang w:val="fr-FR"/>
        </w:rPr>
        <w:t xml:space="preserve"> </w:t>
      </w:r>
      <w:r w:rsidR="008B2DE4" w:rsidRPr="008B2DE4">
        <w:rPr>
          <w:i/>
          <w:lang w:val="fr-FR"/>
        </w:rPr>
        <w:t>Mannino</w:t>
      </w:r>
      <w:r w:rsidR="008B2DE4">
        <w:rPr>
          <w:lang w:val="fr-FR"/>
        </w:rPr>
        <w:t>, n</w:t>
      </w:r>
      <w:r w:rsidR="00E40263" w:rsidRPr="00E40263">
        <w:rPr>
          <w:vertAlign w:val="superscript"/>
          <w:lang w:val="fr-FR"/>
        </w:rPr>
        <w:t>o</w:t>
      </w:r>
      <w:r w:rsidR="008B2DE4">
        <w:rPr>
          <w:lang w:val="fr-FR"/>
        </w:rPr>
        <w:t xml:space="preserve"> 30 du 27 septembre 1995,</w:t>
      </w:r>
      <w:r>
        <w:rPr>
          <w:lang w:val="fr-FR"/>
        </w:rPr>
        <w:t xml:space="preserve"> </w:t>
      </w:r>
      <w:r w:rsidRPr="002D6C6C">
        <w:rPr>
          <w:i/>
          <w:lang w:val="fr-FR"/>
        </w:rPr>
        <w:t>Carnevale</w:t>
      </w:r>
      <w:r>
        <w:rPr>
          <w:lang w:val="fr-FR"/>
        </w:rPr>
        <w:t>, n</w:t>
      </w:r>
      <w:r w:rsidR="00E40263" w:rsidRPr="00E40263">
        <w:rPr>
          <w:vertAlign w:val="superscript"/>
          <w:lang w:val="fr-FR"/>
        </w:rPr>
        <w:t>o</w:t>
      </w:r>
      <w:r>
        <w:rPr>
          <w:lang w:val="fr-FR"/>
        </w:rPr>
        <w:t xml:space="preserve"> 22327 du </w:t>
      </w:r>
      <w:r>
        <w:rPr>
          <w:lang w:val="fr-FR"/>
        </w:rPr>
        <w:lastRenderedPageBreak/>
        <w:t>30</w:t>
      </w:r>
      <w:r w:rsidR="00D76D17">
        <w:rPr>
          <w:lang w:val="fr-FR"/>
        </w:rPr>
        <w:t> </w:t>
      </w:r>
      <w:r>
        <w:rPr>
          <w:lang w:val="fr-FR"/>
        </w:rPr>
        <w:t xml:space="preserve">octobre 2002 et </w:t>
      </w:r>
      <w:r w:rsidRPr="003D7BDA">
        <w:rPr>
          <w:i/>
          <w:lang w:val="fr-FR"/>
        </w:rPr>
        <w:t>Mannino</w:t>
      </w:r>
      <w:r>
        <w:rPr>
          <w:lang w:val="fr-FR"/>
        </w:rPr>
        <w:t>, n</w:t>
      </w:r>
      <w:r w:rsidR="00E40263" w:rsidRPr="00E40263">
        <w:rPr>
          <w:vertAlign w:val="superscript"/>
          <w:lang w:val="fr-FR"/>
        </w:rPr>
        <w:t>o</w:t>
      </w:r>
      <w:r>
        <w:rPr>
          <w:lang w:val="fr-FR"/>
        </w:rPr>
        <w:t xml:space="preserve"> 33748 du 17 juillet 2005, prononcés également par les Sections Unies de la Cour de cassation.</w:t>
      </w:r>
    </w:p>
    <w:p w:rsidR="00F66B50" w:rsidRPr="00AD412E" w:rsidRDefault="00F66B50" w:rsidP="00F66B50">
      <w:pPr>
        <w:pStyle w:val="ECHRTitle1"/>
        <w:rPr>
          <w:lang w:val="fr-FR"/>
        </w:rPr>
      </w:pPr>
      <w:r w:rsidRPr="00AD412E">
        <w:rPr>
          <w:lang w:val="fr-FR"/>
        </w:rPr>
        <w:t>EN DROIT</w:t>
      </w:r>
    </w:p>
    <w:p w:rsidR="00F66B50" w:rsidRPr="00AD412E" w:rsidRDefault="00F66B50" w:rsidP="00F66B50">
      <w:pPr>
        <w:pStyle w:val="ECHRHeading1"/>
        <w:rPr>
          <w:lang w:val="fr-FR"/>
        </w:rPr>
      </w:pPr>
      <w:r w:rsidRPr="00AD412E">
        <w:rPr>
          <w:lang w:val="fr-FR"/>
        </w:rPr>
        <w:t>I.  SUR LA VIOLATION ALLÉGUÉE DE L</w:t>
      </w:r>
      <w:r w:rsidR="00A14196">
        <w:rPr>
          <w:lang w:val="fr-FR"/>
        </w:rPr>
        <w:t>’</w:t>
      </w:r>
      <w:r w:rsidRPr="00AD412E">
        <w:rPr>
          <w:lang w:val="fr-FR"/>
        </w:rPr>
        <w:t xml:space="preserve">ARTICLE </w:t>
      </w:r>
      <w:r>
        <w:rPr>
          <w:lang w:val="fr-FR"/>
        </w:rPr>
        <w:t>7</w:t>
      </w:r>
      <w:r w:rsidRPr="00AD412E">
        <w:rPr>
          <w:lang w:val="fr-FR"/>
        </w:rPr>
        <w:t xml:space="preserve"> DE LA CONVENTION</w:t>
      </w:r>
    </w:p>
    <w:p w:rsidR="00F66B50" w:rsidRPr="00FA5937"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31</w:t>
      </w:r>
      <w:r>
        <w:rPr>
          <w:lang w:val="fr-FR"/>
        </w:rPr>
        <w:fldChar w:fldCharType="end"/>
      </w:r>
      <w:r w:rsidRPr="00AD412E">
        <w:rPr>
          <w:lang w:val="fr-FR"/>
        </w:rPr>
        <w:t>.  </w:t>
      </w:r>
      <w:r w:rsidRPr="00B70088">
        <w:rPr>
          <w:lang w:val="fr-FR"/>
        </w:rPr>
        <w:t>Invoquant l</w:t>
      </w:r>
      <w:r w:rsidR="00A14196">
        <w:rPr>
          <w:lang w:val="fr-FR"/>
        </w:rPr>
        <w:t>’</w:t>
      </w:r>
      <w:r w:rsidRPr="00B70088">
        <w:rPr>
          <w:lang w:val="fr-FR"/>
        </w:rPr>
        <w:t xml:space="preserve">article 7 de la Convention, le requérant estime </w:t>
      </w:r>
      <w:r>
        <w:rPr>
          <w:lang w:val="fr-FR"/>
        </w:rPr>
        <w:t>qu</w:t>
      </w:r>
      <w:r w:rsidR="005742E4">
        <w:rPr>
          <w:lang w:val="fr-FR"/>
        </w:rPr>
        <w:t>e l</w:t>
      </w:r>
      <w:r w:rsidR="00A14196">
        <w:rPr>
          <w:lang w:val="fr-FR"/>
        </w:rPr>
        <w:t>’</w:t>
      </w:r>
      <w:r w:rsidR="005742E4">
        <w:rPr>
          <w:lang w:val="fr-FR"/>
        </w:rPr>
        <w:t xml:space="preserve">infraction de </w:t>
      </w:r>
      <w:r>
        <w:rPr>
          <w:lang w:val="fr-FR"/>
        </w:rPr>
        <w:t>concours e</w:t>
      </w:r>
      <w:r w:rsidR="005742E4">
        <w:rPr>
          <w:lang w:val="fr-FR"/>
        </w:rPr>
        <w:t xml:space="preserve">xterne en association </w:t>
      </w:r>
      <w:r w:rsidR="00C46A48">
        <w:rPr>
          <w:lang w:val="fr-FR"/>
        </w:rPr>
        <w:t xml:space="preserve">de type mafieux </w:t>
      </w:r>
      <w:r>
        <w:rPr>
          <w:lang w:val="fr-FR"/>
        </w:rPr>
        <w:t>est le résultat d</w:t>
      </w:r>
      <w:r w:rsidR="00A14196">
        <w:rPr>
          <w:lang w:val="fr-FR"/>
        </w:rPr>
        <w:t>’</w:t>
      </w:r>
      <w:r>
        <w:rPr>
          <w:lang w:val="fr-FR"/>
        </w:rPr>
        <w:t>une évolution de jurisprudence postérieure à l</w:t>
      </w:r>
      <w:r w:rsidR="00A14196">
        <w:rPr>
          <w:lang w:val="fr-FR"/>
        </w:rPr>
        <w:t>’</w:t>
      </w:r>
      <w:r>
        <w:rPr>
          <w:lang w:val="fr-FR"/>
        </w:rPr>
        <w:t>époque des faits pour lesquels il a été condamné.</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32</w:t>
      </w:r>
      <w:r>
        <w:rPr>
          <w:lang w:val="fr-FR"/>
        </w:rPr>
        <w:fldChar w:fldCharType="end"/>
      </w:r>
      <w:r>
        <w:rPr>
          <w:lang w:val="fr-FR"/>
        </w:rPr>
        <w:t xml:space="preserve">.  Ainsi, </w:t>
      </w:r>
      <w:r w:rsidRPr="00B70088">
        <w:rPr>
          <w:lang w:val="fr-FR"/>
        </w:rPr>
        <w:t>compte tenu des divergences de jur</w:t>
      </w:r>
      <w:r w:rsidR="008B3072">
        <w:rPr>
          <w:lang w:val="fr-FR"/>
        </w:rPr>
        <w:t>isprudence sur l</w:t>
      </w:r>
      <w:r w:rsidR="00A14196">
        <w:rPr>
          <w:lang w:val="fr-FR"/>
        </w:rPr>
        <w:t>’</w:t>
      </w:r>
      <w:r w:rsidR="008B3072">
        <w:rPr>
          <w:lang w:val="fr-FR"/>
        </w:rPr>
        <w:t xml:space="preserve">existence </w:t>
      </w:r>
      <w:r w:rsidR="00655B9C">
        <w:rPr>
          <w:lang w:val="fr-FR"/>
        </w:rPr>
        <w:t>de ladite</w:t>
      </w:r>
      <w:r w:rsidR="008B3072">
        <w:rPr>
          <w:lang w:val="fr-FR"/>
        </w:rPr>
        <w:t xml:space="preserve"> infraction</w:t>
      </w:r>
      <w:r w:rsidRPr="00B70088">
        <w:rPr>
          <w:lang w:val="fr-FR"/>
        </w:rPr>
        <w:t xml:space="preserve">, </w:t>
      </w:r>
      <w:r>
        <w:rPr>
          <w:lang w:val="fr-FR"/>
        </w:rPr>
        <w:t>le requérant n</w:t>
      </w:r>
      <w:r w:rsidR="00A14196">
        <w:rPr>
          <w:lang w:val="fr-FR"/>
        </w:rPr>
        <w:t>’</w:t>
      </w:r>
      <w:r>
        <w:rPr>
          <w:lang w:val="fr-FR"/>
        </w:rPr>
        <w:t>aurait</w:t>
      </w:r>
      <w:r w:rsidRPr="00B70088">
        <w:rPr>
          <w:lang w:val="fr-FR"/>
        </w:rPr>
        <w:t xml:space="preserve"> pas pu prévoir avec précision la qualification juridique des faits qui lui étaient reprochés et, par conséquent, la </w:t>
      </w:r>
      <w:r w:rsidR="00F277E1">
        <w:rPr>
          <w:lang w:val="fr-FR"/>
        </w:rPr>
        <w:t>peine sanctionnant ses agissements</w:t>
      </w:r>
      <w:r>
        <w:rPr>
          <w:lang w:val="fr-FR"/>
        </w:rPr>
        <w:t>.</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33</w:t>
      </w:r>
      <w:r>
        <w:rPr>
          <w:lang w:val="fr-FR"/>
        </w:rPr>
        <w:fldChar w:fldCharType="end"/>
      </w:r>
      <w:r>
        <w:rPr>
          <w:lang w:val="fr-FR"/>
        </w:rPr>
        <w:t>.  L</w:t>
      </w:r>
      <w:r w:rsidR="00A14196">
        <w:rPr>
          <w:lang w:val="fr-FR"/>
        </w:rPr>
        <w:t>’</w:t>
      </w:r>
      <w:r w:rsidRPr="00AD412E">
        <w:rPr>
          <w:lang w:val="fr-FR"/>
        </w:rPr>
        <w:t xml:space="preserve">article </w:t>
      </w:r>
      <w:r>
        <w:rPr>
          <w:lang w:val="fr-FR"/>
        </w:rPr>
        <w:t>7</w:t>
      </w:r>
      <w:r w:rsidR="001B3736">
        <w:rPr>
          <w:lang w:val="fr-FR"/>
        </w:rPr>
        <w:t xml:space="preserve"> de la Convention est </w:t>
      </w:r>
      <w:r w:rsidRPr="00AD412E">
        <w:rPr>
          <w:lang w:val="fr-FR"/>
        </w:rPr>
        <w:t>ainsi libellé :</w:t>
      </w:r>
    </w:p>
    <w:p w:rsidR="00F66B50" w:rsidRPr="00C640DC" w:rsidRDefault="00F66B50" w:rsidP="00F66B50">
      <w:pPr>
        <w:pStyle w:val="ECHRParaQuote"/>
        <w:rPr>
          <w:lang w:val="fr-FR"/>
        </w:rPr>
      </w:pPr>
      <w:r w:rsidRPr="00C640DC">
        <w:rPr>
          <w:lang w:val="fr-FR"/>
        </w:rPr>
        <w:t>« 1.  Nul ne peut être condamné pour une action ou une omission qui, au moment où elle a été commise, ne constituait pas une infraction d</w:t>
      </w:r>
      <w:r w:rsidR="00A14196">
        <w:rPr>
          <w:lang w:val="fr-FR"/>
        </w:rPr>
        <w:t>’</w:t>
      </w:r>
      <w:r w:rsidRPr="00C640DC">
        <w:rPr>
          <w:lang w:val="fr-FR"/>
        </w:rPr>
        <w:t>après le droit national ou international. De même il n</w:t>
      </w:r>
      <w:r w:rsidR="00A14196">
        <w:rPr>
          <w:lang w:val="fr-FR"/>
        </w:rPr>
        <w:t>’</w:t>
      </w:r>
      <w:r w:rsidRPr="00C640DC">
        <w:rPr>
          <w:lang w:val="fr-FR"/>
        </w:rPr>
        <w:t>est infligé aucune peine plus forte que celle qui était applicable au moment où l</w:t>
      </w:r>
      <w:r w:rsidR="00A14196">
        <w:rPr>
          <w:lang w:val="fr-FR"/>
        </w:rPr>
        <w:t>’</w:t>
      </w:r>
      <w:r w:rsidRPr="00C640DC">
        <w:rPr>
          <w:lang w:val="fr-FR"/>
        </w:rPr>
        <w:t>infraction a été commise.</w:t>
      </w:r>
    </w:p>
    <w:p w:rsidR="00F66B50" w:rsidRPr="00C640DC" w:rsidRDefault="00F66B50" w:rsidP="00F66B50">
      <w:pPr>
        <w:pStyle w:val="ECHRParaQuote"/>
        <w:rPr>
          <w:lang w:val="fr-FR"/>
        </w:rPr>
      </w:pPr>
      <w:r w:rsidRPr="00C640DC">
        <w:rPr>
          <w:lang w:val="fr-FR"/>
        </w:rPr>
        <w:t>2.  Le présent article ne portera pas atteinte au jugement et à la punition d</w:t>
      </w:r>
      <w:r w:rsidR="00A14196">
        <w:rPr>
          <w:lang w:val="fr-FR"/>
        </w:rPr>
        <w:t>’</w:t>
      </w:r>
      <w:r w:rsidRPr="00C640DC">
        <w:rPr>
          <w:lang w:val="fr-FR"/>
        </w:rPr>
        <w:t>une personne coupable d</w:t>
      </w:r>
      <w:r w:rsidR="00A14196">
        <w:rPr>
          <w:lang w:val="fr-FR"/>
        </w:rPr>
        <w:t>’</w:t>
      </w:r>
      <w:r w:rsidRPr="00C640DC">
        <w:rPr>
          <w:lang w:val="fr-FR"/>
        </w:rPr>
        <w:t>une action ou d</w:t>
      </w:r>
      <w:r w:rsidR="00A14196">
        <w:rPr>
          <w:lang w:val="fr-FR"/>
        </w:rPr>
        <w:t>’</w:t>
      </w:r>
      <w:r w:rsidRPr="00C640DC">
        <w:rPr>
          <w:lang w:val="fr-FR"/>
        </w:rPr>
        <w:t>une omission qui, au moment où elle a été commise, était criminelle d</w:t>
      </w:r>
      <w:r w:rsidR="00A14196">
        <w:rPr>
          <w:lang w:val="fr-FR"/>
        </w:rPr>
        <w:t>’</w:t>
      </w:r>
      <w:r w:rsidRPr="00C640DC">
        <w:rPr>
          <w:lang w:val="fr-FR"/>
        </w:rPr>
        <w:t>après les principes généraux de droit reconnus par les nations civilisées. »</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34</w:t>
      </w:r>
      <w:r>
        <w:rPr>
          <w:lang w:val="fr-FR"/>
        </w:rPr>
        <w:fldChar w:fldCharType="end"/>
      </w:r>
      <w:r>
        <w:rPr>
          <w:lang w:val="fr-FR"/>
        </w:rPr>
        <w:t xml:space="preserve">.  Le Gouvernement </w:t>
      </w:r>
      <w:r w:rsidR="00A22196">
        <w:rPr>
          <w:lang w:val="fr-FR"/>
        </w:rPr>
        <w:t>soulève</w:t>
      </w:r>
      <w:r>
        <w:rPr>
          <w:lang w:val="fr-FR"/>
        </w:rPr>
        <w:t xml:space="preserve"> d</w:t>
      </w:r>
      <w:r w:rsidR="00A14196">
        <w:rPr>
          <w:lang w:val="fr-FR"/>
        </w:rPr>
        <w:t>’</w:t>
      </w:r>
      <w:r>
        <w:rPr>
          <w:lang w:val="fr-FR"/>
        </w:rPr>
        <w:t>emblée que les observations du requérant auraient été reçues par le greffe de la Cour le 5 mai 2014, à savoir au-delà du 18 avril 2014, délai fixé par la Cour pour l</w:t>
      </w:r>
      <w:r w:rsidR="00A14196">
        <w:rPr>
          <w:lang w:val="fr-FR"/>
        </w:rPr>
        <w:t>’</w:t>
      </w:r>
      <w:r>
        <w:rPr>
          <w:lang w:val="fr-FR"/>
        </w:rPr>
        <w:t>envoi des observations. Celles-ci ne devraient partant pas être versées au dossier.</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35</w:t>
      </w:r>
      <w:r>
        <w:rPr>
          <w:lang w:val="fr-FR"/>
        </w:rPr>
        <w:fldChar w:fldCharType="end"/>
      </w:r>
      <w:r>
        <w:rPr>
          <w:lang w:val="fr-FR"/>
        </w:rPr>
        <w:t>.  La Cour constate que les observations du requérant ont été envoyées</w:t>
      </w:r>
      <w:r w:rsidR="00FC5E95">
        <w:rPr>
          <w:lang w:val="fr-FR"/>
        </w:rPr>
        <w:t xml:space="preserve"> </w:t>
      </w:r>
      <w:r>
        <w:rPr>
          <w:lang w:val="fr-FR"/>
        </w:rPr>
        <w:t>par téléfax le 17 avril 2014</w:t>
      </w:r>
      <w:r w:rsidR="005B2A45">
        <w:rPr>
          <w:lang w:val="fr-FR"/>
        </w:rPr>
        <w:t xml:space="preserve"> et </w:t>
      </w:r>
      <w:r w:rsidR="00A413C9">
        <w:rPr>
          <w:lang w:val="fr-FR"/>
        </w:rPr>
        <w:t xml:space="preserve">ont été </w:t>
      </w:r>
      <w:r w:rsidR="005B2A45">
        <w:rPr>
          <w:lang w:val="fr-FR"/>
        </w:rPr>
        <w:t>reçues le même jour</w:t>
      </w:r>
      <w:r>
        <w:rPr>
          <w:lang w:val="fr-FR"/>
        </w:rPr>
        <w:t>. Cet argument du Gouvernement doit donc être refusé.</w:t>
      </w:r>
    </w:p>
    <w:p w:rsidR="00F66B50" w:rsidRPr="00AD412E" w:rsidRDefault="00F66B50" w:rsidP="00F66B50">
      <w:pPr>
        <w:pStyle w:val="ECHRHeading2"/>
        <w:outlineLvl w:val="0"/>
        <w:rPr>
          <w:lang w:val="fr-FR"/>
        </w:rPr>
      </w:pPr>
      <w:r w:rsidRPr="00AD412E">
        <w:rPr>
          <w:lang w:val="fr-FR"/>
        </w:rPr>
        <w:t>A.  Sur la recevabilité</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36</w:t>
      </w:r>
      <w:r>
        <w:rPr>
          <w:lang w:val="fr-FR"/>
        </w:rPr>
        <w:fldChar w:fldCharType="end"/>
      </w:r>
      <w:r>
        <w:rPr>
          <w:lang w:val="fr-FR"/>
        </w:rPr>
        <w:t xml:space="preserve">.  Le Gouvernement soulève trois objections </w:t>
      </w:r>
      <w:r w:rsidR="00A22196">
        <w:rPr>
          <w:lang w:val="fr-FR"/>
        </w:rPr>
        <w:t xml:space="preserve">quant </w:t>
      </w:r>
      <w:r>
        <w:rPr>
          <w:lang w:val="fr-FR"/>
        </w:rPr>
        <w:t xml:space="preserve">à la recevabilité de </w:t>
      </w:r>
      <w:r w:rsidR="001264AA">
        <w:rPr>
          <w:lang w:val="fr-FR"/>
        </w:rPr>
        <w:t>la</w:t>
      </w:r>
      <w:r>
        <w:rPr>
          <w:lang w:val="fr-FR"/>
        </w:rPr>
        <w:t xml:space="preserve"> requête. Il fait valoir d</w:t>
      </w:r>
      <w:r w:rsidR="00A14196">
        <w:rPr>
          <w:lang w:val="fr-FR"/>
        </w:rPr>
        <w:t>’</w:t>
      </w:r>
      <w:r>
        <w:rPr>
          <w:lang w:val="fr-FR"/>
        </w:rPr>
        <w:t>abord que celle-ci aurait été introduite au-delà du délai des six mois prévu par l</w:t>
      </w:r>
      <w:r w:rsidR="00A14196">
        <w:rPr>
          <w:lang w:val="fr-FR"/>
        </w:rPr>
        <w:t>’</w:t>
      </w:r>
      <w:r>
        <w:rPr>
          <w:lang w:val="fr-FR"/>
        </w:rPr>
        <w:t>article 35 § 1 de la Convention. Ce délai courait en l</w:t>
      </w:r>
      <w:r w:rsidR="00A14196">
        <w:rPr>
          <w:lang w:val="fr-FR"/>
        </w:rPr>
        <w:t>’</w:t>
      </w:r>
      <w:r>
        <w:rPr>
          <w:lang w:val="fr-FR"/>
        </w:rPr>
        <w:t>espèce à partir du 8 janvier 2008, date du dépôt de l</w:t>
      </w:r>
      <w:r w:rsidR="00A14196">
        <w:rPr>
          <w:lang w:val="fr-FR"/>
        </w:rPr>
        <w:t>’</w:t>
      </w:r>
      <w:r>
        <w:rPr>
          <w:lang w:val="fr-FR"/>
        </w:rPr>
        <w:t>arrêt de la Cour de cassation. Le Gouvernement soutient que le formulaire de requête est daté du 4 juillet 2008,</w:t>
      </w:r>
      <w:r w:rsidR="00470E7E">
        <w:rPr>
          <w:lang w:val="fr-FR"/>
        </w:rPr>
        <w:t xml:space="preserve"> mais que</w:t>
      </w:r>
      <w:r>
        <w:rPr>
          <w:lang w:val="fr-FR"/>
        </w:rPr>
        <w:t xml:space="preserve"> toutefois, le courrier y relatif a été reçu </w:t>
      </w:r>
      <w:r>
        <w:rPr>
          <w:lang w:val="fr-FR"/>
        </w:rPr>
        <w:lastRenderedPageBreak/>
        <w:t>par la Cour le 9 juillet 2008. En l</w:t>
      </w:r>
      <w:r w:rsidR="00A14196">
        <w:rPr>
          <w:lang w:val="fr-FR"/>
        </w:rPr>
        <w:t>’</w:t>
      </w:r>
      <w:r>
        <w:rPr>
          <w:lang w:val="fr-FR"/>
        </w:rPr>
        <w:t>absence de preuve de l</w:t>
      </w:r>
      <w:r w:rsidR="00A14196">
        <w:rPr>
          <w:lang w:val="fr-FR"/>
        </w:rPr>
        <w:t>’</w:t>
      </w:r>
      <w:r>
        <w:rPr>
          <w:lang w:val="fr-FR"/>
        </w:rPr>
        <w:t xml:space="preserve">envoi de la part du requérant, </w:t>
      </w:r>
      <w:r w:rsidR="00911FE3">
        <w:rPr>
          <w:lang w:val="fr-FR"/>
        </w:rPr>
        <w:t>la</w:t>
      </w:r>
      <w:r>
        <w:rPr>
          <w:lang w:val="fr-FR"/>
        </w:rPr>
        <w:t xml:space="preserve"> requête devrait être rejetée car tardive.</w:t>
      </w:r>
    </w:p>
    <w:p w:rsidR="00DD6D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37</w:t>
      </w:r>
      <w:r>
        <w:rPr>
          <w:lang w:val="fr-FR"/>
        </w:rPr>
        <w:fldChar w:fldCharType="end"/>
      </w:r>
      <w:r>
        <w:rPr>
          <w:lang w:val="fr-FR"/>
        </w:rPr>
        <w:t xml:space="preserve">.  Le requérant conteste les affirmations </w:t>
      </w:r>
      <w:r w:rsidR="002349CB">
        <w:rPr>
          <w:lang w:val="fr-FR"/>
        </w:rPr>
        <w:t>du Gouvernement et indique que s</w:t>
      </w:r>
      <w:r>
        <w:rPr>
          <w:lang w:val="fr-FR"/>
        </w:rPr>
        <w:t>a requête a été envoy</w:t>
      </w:r>
      <w:r w:rsidR="00DD6D2E">
        <w:rPr>
          <w:lang w:val="fr-FR"/>
        </w:rPr>
        <w:t>ée à la Cour le 4 juillet 2008.</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38</w:t>
      </w:r>
      <w:r>
        <w:rPr>
          <w:lang w:val="fr-FR"/>
        </w:rPr>
        <w:fldChar w:fldCharType="end"/>
      </w:r>
      <w:r>
        <w:rPr>
          <w:lang w:val="fr-FR"/>
        </w:rPr>
        <w:t>.  La Cour observe que la présente requête a été envoyée au greffe le 4</w:t>
      </w:r>
      <w:r w:rsidR="00711DBE">
        <w:rPr>
          <w:lang w:val="fr-FR"/>
        </w:rPr>
        <w:t> </w:t>
      </w:r>
      <w:r>
        <w:rPr>
          <w:lang w:val="fr-FR"/>
        </w:rPr>
        <w:t xml:space="preserve">juillet 2008, </w:t>
      </w:r>
      <w:r w:rsidR="00A22909">
        <w:rPr>
          <w:lang w:val="fr-FR"/>
        </w:rPr>
        <w:t>ainsi</w:t>
      </w:r>
      <w:r>
        <w:rPr>
          <w:lang w:val="fr-FR"/>
        </w:rPr>
        <w:t xml:space="preserve"> qu</w:t>
      </w:r>
      <w:r w:rsidR="00A14196">
        <w:rPr>
          <w:lang w:val="fr-FR"/>
        </w:rPr>
        <w:t>’</w:t>
      </w:r>
      <w:r>
        <w:rPr>
          <w:lang w:val="fr-FR"/>
        </w:rPr>
        <w:t xml:space="preserve">il ressort du </w:t>
      </w:r>
      <w:r w:rsidR="00994CDA">
        <w:rPr>
          <w:lang w:val="fr-FR"/>
        </w:rPr>
        <w:t>cachet</w:t>
      </w:r>
      <w:r>
        <w:rPr>
          <w:lang w:val="fr-FR"/>
        </w:rPr>
        <w:t xml:space="preserve"> postal de l</w:t>
      </w:r>
      <w:r w:rsidR="00A14196">
        <w:rPr>
          <w:lang w:val="fr-FR"/>
        </w:rPr>
        <w:t>’</w:t>
      </w:r>
      <w:r>
        <w:rPr>
          <w:lang w:val="fr-FR"/>
        </w:rPr>
        <w:t>enveloppe versé</w:t>
      </w:r>
      <w:r w:rsidR="00EA760F">
        <w:rPr>
          <w:lang w:val="fr-FR"/>
        </w:rPr>
        <w:t>e</w:t>
      </w:r>
      <w:r>
        <w:rPr>
          <w:lang w:val="fr-FR"/>
        </w:rPr>
        <w:t xml:space="preserve"> au dossier. Telle est donc la date d</w:t>
      </w:r>
      <w:r w:rsidR="00A14196">
        <w:rPr>
          <w:lang w:val="fr-FR"/>
        </w:rPr>
        <w:t>’</w:t>
      </w:r>
      <w:r>
        <w:rPr>
          <w:lang w:val="fr-FR"/>
        </w:rPr>
        <w:t>introduction de la requête au sens de l</w:t>
      </w:r>
      <w:r w:rsidR="00A14196">
        <w:rPr>
          <w:lang w:val="fr-FR"/>
        </w:rPr>
        <w:t>’</w:t>
      </w:r>
      <w:r>
        <w:rPr>
          <w:lang w:val="fr-FR"/>
        </w:rPr>
        <w:t>ar</w:t>
      </w:r>
      <w:r w:rsidR="00EA760F">
        <w:rPr>
          <w:lang w:val="fr-FR"/>
        </w:rPr>
        <w:t>ticle 35 § 1 de la Convention. Partant, c</w:t>
      </w:r>
      <w:r>
        <w:rPr>
          <w:lang w:val="fr-FR"/>
        </w:rPr>
        <w:t>ette objection du Gouvernement ne saurait être retenue.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39</w:t>
      </w:r>
      <w:r>
        <w:rPr>
          <w:lang w:val="fr-FR"/>
        </w:rPr>
        <w:fldChar w:fldCharType="end"/>
      </w:r>
      <w:r>
        <w:rPr>
          <w:lang w:val="fr-FR"/>
        </w:rPr>
        <w:t>.  Le Gouvernement excipe ensuite que le requérant aurait omis de soulever devant les autorités nationales le même grief qu</w:t>
      </w:r>
      <w:r w:rsidR="00A14196">
        <w:rPr>
          <w:lang w:val="fr-FR"/>
        </w:rPr>
        <w:t>’</w:t>
      </w:r>
      <w:r>
        <w:rPr>
          <w:lang w:val="fr-FR"/>
        </w:rPr>
        <w:t>il soulève devant la Cour. Il fait valoir notamment que « si devant les instances internes</w:t>
      </w:r>
      <w:r w:rsidR="006D185F">
        <w:rPr>
          <w:lang w:val="fr-FR"/>
        </w:rPr>
        <w:t>,</w:t>
      </w:r>
      <w:r>
        <w:rPr>
          <w:lang w:val="fr-FR"/>
        </w:rPr>
        <w:t xml:space="preserve"> le requérant s</w:t>
      </w:r>
      <w:r w:rsidR="00A14196">
        <w:rPr>
          <w:lang w:val="fr-FR"/>
        </w:rPr>
        <w:t>’</w:t>
      </w:r>
      <w:r>
        <w:rPr>
          <w:lang w:val="fr-FR"/>
        </w:rPr>
        <w:t>est plaint de la qualification de l</w:t>
      </w:r>
      <w:r w:rsidR="00A14196">
        <w:rPr>
          <w:lang w:val="fr-FR"/>
        </w:rPr>
        <w:t>’</w:t>
      </w:r>
      <w:r>
        <w:rPr>
          <w:lang w:val="fr-FR"/>
        </w:rPr>
        <w:t>infraction qui lui était reprochée</w:t>
      </w:r>
      <w:r w:rsidR="00927C19">
        <w:rPr>
          <w:lang w:val="fr-FR"/>
        </w:rPr>
        <w:t> ;</w:t>
      </w:r>
      <w:r>
        <w:rPr>
          <w:lang w:val="fr-FR"/>
        </w:rPr>
        <w:t xml:space="preserve"> devant la Cour il dénonce la violation du principe de non-rétroactivité de la norme pénale ». Ainsi, les juges nationaux n</w:t>
      </w:r>
      <w:r w:rsidR="00A14196">
        <w:rPr>
          <w:lang w:val="fr-FR"/>
        </w:rPr>
        <w:t>’</w:t>
      </w:r>
      <w:r>
        <w:rPr>
          <w:lang w:val="fr-FR"/>
        </w:rPr>
        <w:t xml:space="preserve">auraient pas eu la possibilité de statuer sur la doléance du requérant telle que formulée devant la Cour. Le principe de subsidiarité aurait ainsi été méconnu et </w:t>
      </w:r>
      <w:r w:rsidR="0095454A">
        <w:rPr>
          <w:lang w:val="fr-FR"/>
        </w:rPr>
        <w:t>la</w:t>
      </w:r>
      <w:r>
        <w:rPr>
          <w:lang w:val="fr-FR"/>
        </w:rPr>
        <w:t xml:space="preserve"> requête devrait être déclarée irrecevable pour non-épuisemen</w:t>
      </w:r>
      <w:r w:rsidR="003F45D1">
        <w:rPr>
          <w:lang w:val="fr-FR"/>
        </w:rPr>
        <w:t>t des voies de recours internes</w:t>
      </w:r>
      <w:r>
        <w:rPr>
          <w:lang w:val="fr-FR"/>
        </w:rPr>
        <w:t>.</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40</w:t>
      </w:r>
      <w:r>
        <w:rPr>
          <w:lang w:val="fr-FR"/>
        </w:rPr>
        <w:fldChar w:fldCharType="end"/>
      </w:r>
      <w:r>
        <w:rPr>
          <w:lang w:val="fr-FR"/>
        </w:rPr>
        <w:t>.  Le requérant conteste cette thèse et fait valoir avoir soulevé la doléance portée devant la Cour dans tous les degrés de juridiction.</w:t>
      </w:r>
    </w:p>
    <w:p w:rsidR="00F66B50" w:rsidRPr="007D525B" w:rsidRDefault="00F66B50" w:rsidP="00F66B50">
      <w:pPr>
        <w:pStyle w:val="ECHRPara"/>
        <w:rPr>
          <w:i/>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41</w:t>
      </w:r>
      <w:r>
        <w:rPr>
          <w:lang w:val="fr-FR"/>
        </w:rPr>
        <w:fldChar w:fldCharType="end"/>
      </w:r>
      <w:r>
        <w:rPr>
          <w:lang w:val="fr-FR"/>
        </w:rPr>
        <w:t>.  La Cour rappelle</w:t>
      </w:r>
      <w:r w:rsidRPr="001D10DC">
        <w:rPr>
          <w:rStyle w:val="sb8d990e2"/>
          <w:lang w:val="fr-FR"/>
        </w:rPr>
        <w:t xml:space="preserve"> qu</w:t>
      </w:r>
      <w:r w:rsidR="00A14196">
        <w:rPr>
          <w:rStyle w:val="sb8d990e2"/>
          <w:lang w:val="fr-FR"/>
        </w:rPr>
        <w:t>’</w:t>
      </w:r>
      <w:r w:rsidRPr="00736813">
        <w:rPr>
          <w:rStyle w:val="sb8d990e2"/>
          <w:lang w:val="fr-FR"/>
        </w:rPr>
        <w:t>aux termes de l</w:t>
      </w:r>
      <w:r w:rsidR="00A14196">
        <w:rPr>
          <w:rStyle w:val="sb8d990e2"/>
          <w:lang w:val="fr-FR"/>
        </w:rPr>
        <w:t>’</w:t>
      </w:r>
      <w:r w:rsidRPr="00215FCF">
        <w:rPr>
          <w:rStyle w:val="sb8d990e2"/>
          <w:lang w:val="fr-FR"/>
        </w:rPr>
        <w:t>article 35 § 1 de la Conventi</w:t>
      </w:r>
      <w:r w:rsidRPr="001D10DC">
        <w:rPr>
          <w:rStyle w:val="sb8d990e2"/>
          <w:lang w:val="fr-FR"/>
        </w:rPr>
        <w:t>on, elle ne peut être saisie qu</w:t>
      </w:r>
      <w:r w:rsidR="00A14196">
        <w:rPr>
          <w:rStyle w:val="sb8d990e2"/>
          <w:lang w:val="fr-FR"/>
        </w:rPr>
        <w:t>’</w:t>
      </w:r>
      <w:r w:rsidRPr="00111AE9">
        <w:rPr>
          <w:rStyle w:val="sb8d990e2"/>
          <w:lang w:val="fr-FR"/>
        </w:rPr>
        <w:t>après l</w:t>
      </w:r>
      <w:r w:rsidR="00A14196">
        <w:rPr>
          <w:rStyle w:val="sb8d990e2"/>
          <w:lang w:val="fr-FR"/>
        </w:rPr>
        <w:t>’</w:t>
      </w:r>
      <w:r w:rsidRPr="00215FCF">
        <w:rPr>
          <w:rStyle w:val="sb8d990e2"/>
          <w:lang w:val="fr-FR"/>
        </w:rPr>
        <w:t>épuisement des voies de recours internes. Tout requérant doit avoir do</w:t>
      </w:r>
      <w:r w:rsidRPr="00111AE9">
        <w:rPr>
          <w:rStyle w:val="sb8d990e2"/>
          <w:lang w:val="fr-FR"/>
        </w:rPr>
        <w:t>nné aux juridictions internes l</w:t>
      </w:r>
      <w:r w:rsidR="00A14196">
        <w:rPr>
          <w:rStyle w:val="sb8d990e2"/>
          <w:lang w:val="fr-FR"/>
        </w:rPr>
        <w:t>’</w:t>
      </w:r>
      <w:r w:rsidRPr="00215FCF">
        <w:rPr>
          <w:rStyle w:val="sb8d990e2"/>
          <w:lang w:val="fr-FR"/>
        </w:rPr>
        <w:t xml:space="preserve">occasion que cette disposition a pour finalité de ménager en principe aux </w:t>
      </w:r>
      <w:r w:rsidRPr="001D10DC">
        <w:rPr>
          <w:rStyle w:val="sb8d990e2"/>
          <w:lang w:val="fr-FR"/>
        </w:rPr>
        <w:t>États</w:t>
      </w:r>
      <w:r w:rsidRPr="00215FCF">
        <w:rPr>
          <w:rStyle w:val="sb8d990e2"/>
          <w:lang w:val="fr-FR"/>
        </w:rPr>
        <w:t xml:space="preserve"> contractants, à savoir éviter ou redresser les violations alléguées contre </w:t>
      </w:r>
      <w:r w:rsidRPr="001D10DC">
        <w:rPr>
          <w:rStyle w:val="sb8d990e2"/>
          <w:lang w:val="fr-FR"/>
        </w:rPr>
        <w:t>eux. Cette règle se fonde sur l</w:t>
      </w:r>
      <w:r w:rsidR="00A14196">
        <w:rPr>
          <w:rStyle w:val="sb8d990e2"/>
          <w:lang w:val="fr-FR"/>
        </w:rPr>
        <w:t>’</w:t>
      </w:r>
      <w:r w:rsidRPr="00215FCF">
        <w:rPr>
          <w:rStyle w:val="sb8d990e2"/>
          <w:lang w:val="fr-FR"/>
        </w:rPr>
        <w:t>hypothèse</w:t>
      </w:r>
      <w:r>
        <w:rPr>
          <w:rStyle w:val="sb8d990e2"/>
          <w:lang w:val="fr-FR"/>
        </w:rPr>
        <w:t xml:space="preserve"> </w:t>
      </w:r>
      <w:r w:rsidRPr="001D10DC">
        <w:rPr>
          <w:rStyle w:val="sb8d990e2"/>
          <w:lang w:val="fr-FR"/>
        </w:rPr>
        <w:t>que l</w:t>
      </w:r>
      <w:r w:rsidR="00A14196">
        <w:rPr>
          <w:rStyle w:val="sb8d990e2"/>
          <w:lang w:val="fr-FR"/>
        </w:rPr>
        <w:t>’</w:t>
      </w:r>
      <w:r w:rsidRPr="00215FCF">
        <w:rPr>
          <w:rStyle w:val="sb8d990e2"/>
          <w:lang w:val="fr-FR"/>
        </w:rPr>
        <w:t xml:space="preserve">ordre interne offre un recours effectif quant à la violation </w:t>
      </w:r>
      <w:r w:rsidRPr="001D10DC">
        <w:rPr>
          <w:rStyle w:val="sb8d990e2"/>
          <w:lang w:val="fr-FR"/>
        </w:rPr>
        <w:t>alléguée. Les dispositions de l</w:t>
      </w:r>
      <w:r w:rsidR="00A14196">
        <w:rPr>
          <w:rStyle w:val="sb8d990e2"/>
          <w:lang w:val="fr-FR"/>
        </w:rPr>
        <w:t>’</w:t>
      </w:r>
      <w:r w:rsidRPr="00215FCF">
        <w:rPr>
          <w:rStyle w:val="sb8d990e2"/>
          <w:lang w:val="fr-FR"/>
        </w:rPr>
        <w:t>article 35</w:t>
      </w:r>
      <w:r w:rsidRPr="001D10DC">
        <w:rPr>
          <w:rStyle w:val="sb8d990e2"/>
          <w:lang w:val="fr-FR"/>
        </w:rPr>
        <w:t xml:space="preserve"> § 1 ne prescrivent toutefois l</w:t>
      </w:r>
      <w:r w:rsidR="00A14196">
        <w:rPr>
          <w:rStyle w:val="sb8d990e2"/>
          <w:lang w:val="fr-FR"/>
        </w:rPr>
        <w:t>’</w:t>
      </w:r>
      <w:r w:rsidRPr="00215FCF">
        <w:rPr>
          <w:rStyle w:val="sb8d990e2"/>
          <w:lang w:val="fr-FR"/>
        </w:rPr>
        <w:t>épuisement que des seuls recours à la fois relatifs aux violations incriminées, disponibles et adéquats. Ils doivent exister à un degré suffisant de</w:t>
      </w:r>
      <w:r w:rsidRPr="00215FCF">
        <w:rPr>
          <w:rStyle w:val="s7d2086b4"/>
          <w:lang w:val="fr-FR"/>
        </w:rPr>
        <w:t xml:space="preserve"> </w:t>
      </w:r>
      <w:r w:rsidRPr="00215FCF">
        <w:rPr>
          <w:rStyle w:val="sb8d990e2"/>
          <w:lang w:val="fr-FR"/>
        </w:rPr>
        <w:t>certitude non seulement en théorie mais aussi en prat</w:t>
      </w:r>
      <w:r w:rsidRPr="001D10DC">
        <w:rPr>
          <w:rStyle w:val="sb8d990e2"/>
          <w:lang w:val="fr-FR"/>
        </w:rPr>
        <w:t>ique, sans quoi leur manquent l</w:t>
      </w:r>
      <w:r w:rsidR="00A14196">
        <w:rPr>
          <w:rStyle w:val="sb8d990e2"/>
          <w:lang w:val="fr-FR"/>
        </w:rPr>
        <w:t>’</w:t>
      </w:r>
      <w:r w:rsidRPr="001D10DC">
        <w:rPr>
          <w:rStyle w:val="sb8d990e2"/>
          <w:lang w:val="fr-FR"/>
        </w:rPr>
        <w:t>effectivité et l</w:t>
      </w:r>
      <w:r w:rsidR="00A14196">
        <w:rPr>
          <w:rStyle w:val="sb8d990e2"/>
          <w:lang w:val="fr-FR"/>
        </w:rPr>
        <w:t>’</w:t>
      </w:r>
      <w:r w:rsidRPr="00215FCF">
        <w:rPr>
          <w:rStyle w:val="sb8d990e2"/>
          <w:lang w:val="fr-FR"/>
        </w:rPr>
        <w:t>accessibilité</w:t>
      </w:r>
      <w:r w:rsidRPr="00215FCF">
        <w:rPr>
          <w:rStyle w:val="s7d2086b4"/>
          <w:lang w:val="fr-FR"/>
        </w:rPr>
        <w:t xml:space="preserve"> </w:t>
      </w:r>
      <w:r w:rsidRPr="00215FCF">
        <w:rPr>
          <w:rStyle w:val="sb8d990e2"/>
          <w:lang w:val="fr-FR"/>
        </w:rPr>
        <w:t xml:space="preserve">voulues ; il incombe à </w:t>
      </w:r>
      <w:r w:rsidRPr="001D10DC">
        <w:rPr>
          <w:rStyle w:val="sb8d990e2"/>
          <w:lang w:val="fr-FR"/>
        </w:rPr>
        <w:t>l</w:t>
      </w:r>
      <w:r w:rsidR="00A14196">
        <w:rPr>
          <w:rStyle w:val="sb8d990e2"/>
          <w:lang w:val="fr-FR"/>
        </w:rPr>
        <w:t>’</w:t>
      </w:r>
      <w:r w:rsidRPr="001D10DC">
        <w:rPr>
          <w:rStyle w:val="sb8d990e2"/>
          <w:lang w:val="fr-FR"/>
        </w:rPr>
        <w:t>État</w:t>
      </w:r>
      <w:r w:rsidRPr="00215FCF">
        <w:rPr>
          <w:rStyle w:val="sb8d990e2"/>
          <w:lang w:val="fr-FR"/>
        </w:rPr>
        <w:t xml:space="preserve"> défendeur de démontrer que ces exigences se trouvent </w:t>
      </w:r>
      <w:r w:rsidRPr="001D10DC">
        <w:rPr>
          <w:rStyle w:val="sb8d990e2"/>
          <w:lang w:val="fr-FR"/>
        </w:rPr>
        <w:t>réunies (voir, parmi beaucoup d</w:t>
      </w:r>
      <w:r w:rsidR="00A14196">
        <w:rPr>
          <w:rStyle w:val="sb8d990e2"/>
          <w:lang w:val="fr-FR"/>
        </w:rPr>
        <w:t>’</w:t>
      </w:r>
      <w:r w:rsidRPr="00215FCF">
        <w:rPr>
          <w:rStyle w:val="sb8d990e2"/>
          <w:lang w:val="fr-FR"/>
        </w:rPr>
        <w:t xml:space="preserve">autres, </w:t>
      </w:r>
      <w:r w:rsidRPr="00215FCF">
        <w:rPr>
          <w:i/>
          <w:lang w:val="fr-FR"/>
        </w:rPr>
        <w:t xml:space="preserve">McFarlane c. Irlande </w:t>
      </w:r>
      <w:r w:rsidRPr="00215FCF">
        <w:rPr>
          <w:lang w:val="fr-FR"/>
        </w:rPr>
        <w:t>[GC], n</w:t>
      </w:r>
      <w:r w:rsidRPr="00215FCF">
        <w:rPr>
          <w:vertAlign w:val="superscript"/>
          <w:lang w:val="fr-FR"/>
        </w:rPr>
        <w:t>o</w:t>
      </w:r>
      <w:r>
        <w:rPr>
          <w:lang w:val="fr-FR"/>
        </w:rPr>
        <w:t xml:space="preserve"> 31333/06, § 107</w:t>
      </w:r>
      <w:r w:rsidRPr="00215FCF">
        <w:rPr>
          <w:lang w:val="fr-FR"/>
        </w:rPr>
        <w:t>, 10 septembre 2010</w:t>
      </w:r>
      <w:r>
        <w:rPr>
          <w:lang w:val="fr-FR"/>
        </w:rPr>
        <w:t xml:space="preserve">, </w:t>
      </w:r>
      <w:r w:rsidRPr="00215FCF">
        <w:rPr>
          <w:rStyle w:val="s6b621b36"/>
          <w:i/>
          <w:lang w:val="fr-FR"/>
        </w:rPr>
        <w:t>Mifsud c. France</w:t>
      </w:r>
      <w:r w:rsidRPr="00215FCF">
        <w:rPr>
          <w:rStyle w:val="sb8d990e2"/>
          <w:lang w:val="fr-FR"/>
        </w:rPr>
        <w:t xml:space="preserve"> (déc.) [GC], n</w:t>
      </w:r>
      <w:r w:rsidR="00E40263" w:rsidRPr="00E40263">
        <w:rPr>
          <w:rStyle w:val="sea881cdf"/>
          <w:vertAlign w:val="superscript"/>
          <w:lang w:val="fr-FR"/>
        </w:rPr>
        <w:t>o</w:t>
      </w:r>
      <w:r w:rsidRPr="00215FCF">
        <w:rPr>
          <w:rStyle w:val="sb8d990e2"/>
          <w:lang w:val="fr-FR"/>
        </w:rPr>
        <w:t xml:space="preserve"> </w:t>
      </w:r>
      <w:r w:rsidRPr="00117E94">
        <w:rPr>
          <w:lang w:val="fr-FR"/>
        </w:rPr>
        <w:t>57220/00</w:t>
      </w:r>
      <w:r>
        <w:rPr>
          <w:rStyle w:val="sb8d990e2"/>
          <w:lang w:val="fr-FR"/>
        </w:rPr>
        <w:t>, § 15, CEDH 2002</w:t>
      </w:r>
      <w:r>
        <w:rPr>
          <w:rStyle w:val="sb8d990e2"/>
          <w:lang w:val="fr-FR"/>
        </w:rPr>
        <w:noBreakHyphen/>
        <w:t xml:space="preserve">VIII, </w:t>
      </w:r>
      <w:r w:rsidRPr="00215FCF">
        <w:rPr>
          <w:rStyle w:val="s6b621b36"/>
          <w:i/>
          <w:lang w:val="fr-FR"/>
        </w:rPr>
        <w:t>Leandro Da Silva c. Luxembourg</w:t>
      </w:r>
      <w:r w:rsidRPr="00215FCF">
        <w:rPr>
          <w:rStyle w:val="sb8d990e2"/>
          <w:lang w:val="fr-FR"/>
        </w:rPr>
        <w:t>, n</w:t>
      </w:r>
      <w:r w:rsidR="00E40263" w:rsidRPr="00E40263">
        <w:rPr>
          <w:rStyle w:val="sea881cdf"/>
          <w:vertAlign w:val="superscript"/>
          <w:lang w:val="fr-FR"/>
        </w:rPr>
        <w:t>o</w:t>
      </w:r>
      <w:r>
        <w:rPr>
          <w:rStyle w:val="sea881cdf"/>
          <w:lang w:val="fr-FR"/>
        </w:rPr>
        <w:t> </w:t>
      </w:r>
      <w:r w:rsidRPr="00117E94">
        <w:rPr>
          <w:lang w:val="fr-FR"/>
        </w:rPr>
        <w:t>30273/07</w:t>
      </w:r>
      <w:r w:rsidRPr="00215FCF">
        <w:rPr>
          <w:rStyle w:val="sb8d990e2"/>
          <w:lang w:val="fr-FR"/>
        </w:rPr>
        <w:t>, §§ 40 et 42, 11 février 2010</w:t>
      </w:r>
      <w:r>
        <w:rPr>
          <w:rStyle w:val="sb8d990e2"/>
          <w:lang w:val="fr-FR"/>
        </w:rPr>
        <w:t xml:space="preserve"> et </w:t>
      </w:r>
      <w:r w:rsidRPr="007D525B">
        <w:rPr>
          <w:i/>
          <w:lang w:val="fr-FR"/>
        </w:rPr>
        <w:t xml:space="preserve">Vučković et autres c. Serbie </w:t>
      </w:r>
      <w:r w:rsidRPr="007D525B">
        <w:rPr>
          <w:lang w:val="fr-FR"/>
        </w:rPr>
        <w:t>[GC], n</w:t>
      </w:r>
      <w:r w:rsidRPr="007D525B">
        <w:rPr>
          <w:vertAlign w:val="superscript"/>
          <w:lang w:val="fr-FR"/>
        </w:rPr>
        <w:t>o</w:t>
      </w:r>
      <w:r w:rsidRPr="007D525B">
        <w:rPr>
          <w:lang w:val="fr-FR"/>
        </w:rPr>
        <w:t xml:space="preserve"> 17153/11</w:t>
      </w:r>
      <w:r w:rsidRPr="007D525B">
        <w:rPr>
          <w:snapToGrid w:val="0"/>
          <w:color w:val="000000"/>
          <w:lang w:val="fr-FR"/>
        </w:rPr>
        <w:t xml:space="preserve">, </w:t>
      </w:r>
      <w:r>
        <w:rPr>
          <w:snapToGrid w:val="0"/>
          <w:color w:val="000000"/>
          <w:lang w:val="fr-FR"/>
        </w:rPr>
        <w:t xml:space="preserve">§§ 71-72, </w:t>
      </w:r>
      <w:r w:rsidRPr="007D525B">
        <w:rPr>
          <w:color w:val="000000"/>
          <w:lang w:val="fr-FR"/>
        </w:rPr>
        <w:t>25</w:t>
      </w:r>
      <w:r w:rsidRPr="007D525B">
        <w:rPr>
          <w:snapToGrid w:val="0"/>
          <w:color w:val="000000"/>
          <w:lang w:val="fr-FR"/>
        </w:rPr>
        <w:t xml:space="preserve"> </w:t>
      </w:r>
      <w:r w:rsidRPr="007D525B">
        <w:rPr>
          <w:color w:val="000000"/>
          <w:lang w:val="fr-FR"/>
        </w:rPr>
        <w:t>mars</w:t>
      </w:r>
      <w:r w:rsidRPr="007D525B">
        <w:rPr>
          <w:snapToGrid w:val="0"/>
          <w:color w:val="000000"/>
          <w:lang w:val="fr-FR"/>
        </w:rPr>
        <w:t xml:space="preserve"> 2014</w:t>
      </w:r>
      <w:r>
        <w:rPr>
          <w:snapToGrid w:val="0"/>
          <w:color w:val="000000"/>
          <w:lang w:val="fr-FR"/>
        </w:rPr>
        <w:t>).</w:t>
      </w:r>
    </w:p>
    <w:p w:rsidR="00F66B50" w:rsidRDefault="00F66B50" w:rsidP="00F66B50">
      <w:pPr>
        <w:ind w:firstLine="284"/>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42</w:t>
      </w:r>
      <w:r>
        <w:rPr>
          <w:lang w:val="fr-FR"/>
        </w:rPr>
        <w:fldChar w:fldCharType="end"/>
      </w:r>
      <w:r>
        <w:rPr>
          <w:lang w:val="fr-FR"/>
        </w:rPr>
        <w:t>.  Dans le cas d</w:t>
      </w:r>
      <w:r w:rsidR="00A14196">
        <w:rPr>
          <w:lang w:val="fr-FR"/>
        </w:rPr>
        <w:t>’</w:t>
      </w:r>
      <w:r>
        <w:rPr>
          <w:lang w:val="fr-FR"/>
        </w:rPr>
        <w:t>espèce, la Cour relève que</w:t>
      </w:r>
      <w:r w:rsidR="008552EB">
        <w:rPr>
          <w:lang w:val="fr-FR"/>
        </w:rPr>
        <w:t>,</w:t>
      </w:r>
      <w:r>
        <w:rPr>
          <w:lang w:val="fr-FR"/>
        </w:rPr>
        <w:t xml:space="preserve"> dans son recours en appel contre le jugement de première instance du tribunal de Palerme du 5 avril 1996, le requérant a invoqué le principe de la prévision législative </w:t>
      </w:r>
      <w:r w:rsidR="008552EB">
        <w:rPr>
          <w:lang w:val="fr-FR"/>
        </w:rPr>
        <w:t>exhaustive</w:t>
      </w:r>
      <w:r>
        <w:rPr>
          <w:lang w:val="fr-FR"/>
        </w:rPr>
        <w:t xml:space="preserve"> des situations dans lesquelles la norme pénale trouve application (</w:t>
      </w:r>
      <w:r w:rsidRPr="00361A0F">
        <w:rPr>
          <w:i/>
          <w:lang w:val="fr-FR"/>
        </w:rPr>
        <w:t xml:space="preserve">principio </w:t>
      </w:r>
      <w:r>
        <w:rPr>
          <w:i/>
          <w:lang w:val="fr-FR"/>
        </w:rPr>
        <w:t xml:space="preserve">di </w:t>
      </w:r>
      <w:r w:rsidRPr="00361A0F">
        <w:rPr>
          <w:i/>
          <w:lang w:val="fr-FR"/>
        </w:rPr>
        <w:t>tassatività della norma penale</w:t>
      </w:r>
      <w:r>
        <w:rPr>
          <w:lang w:val="fr-FR"/>
        </w:rPr>
        <w:t xml:space="preserve">) en tant que corollaire du principe plus général de la non-rétroactivité de la norme pénale. Le </w:t>
      </w:r>
      <w:r>
        <w:rPr>
          <w:lang w:val="fr-FR"/>
        </w:rPr>
        <w:lastRenderedPageBreak/>
        <w:t>requérant estima notamment qu</w:t>
      </w:r>
      <w:r w:rsidR="00A14196">
        <w:rPr>
          <w:lang w:val="fr-FR"/>
        </w:rPr>
        <w:t>’</w:t>
      </w:r>
      <w:r>
        <w:rPr>
          <w:lang w:val="fr-FR"/>
        </w:rPr>
        <w:t>à l</w:t>
      </w:r>
      <w:r w:rsidR="00A14196">
        <w:rPr>
          <w:lang w:val="fr-FR"/>
        </w:rPr>
        <w:t>’</w:t>
      </w:r>
      <w:r>
        <w:rPr>
          <w:lang w:val="fr-FR"/>
        </w:rPr>
        <w:t>époque des faits de l</w:t>
      </w:r>
      <w:r w:rsidR="00A14196">
        <w:rPr>
          <w:lang w:val="fr-FR"/>
        </w:rPr>
        <w:t>’</w:t>
      </w:r>
      <w:r>
        <w:rPr>
          <w:lang w:val="fr-FR"/>
        </w:rPr>
        <w:t>affaire, l</w:t>
      </w:r>
      <w:r w:rsidR="00A14196">
        <w:rPr>
          <w:lang w:val="fr-FR"/>
        </w:rPr>
        <w:t>’</w:t>
      </w:r>
      <w:r>
        <w:rPr>
          <w:lang w:val="fr-FR"/>
        </w:rPr>
        <w:t>application</w:t>
      </w:r>
      <w:r w:rsidR="00613E68">
        <w:rPr>
          <w:lang w:val="fr-FR"/>
        </w:rPr>
        <w:t xml:space="preserve"> de la loi pénale concernant le concours en </w:t>
      </w:r>
      <w:r w:rsidRPr="00B70088">
        <w:rPr>
          <w:lang w:val="fr-FR"/>
        </w:rPr>
        <w:t xml:space="preserve">association </w:t>
      </w:r>
      <w:r w:rsidR="00C46A48">
        <w:rPr>
          <w:lang w:val="fr-FR"/>
        </w:rPr>
        <w:t xml:space="preserve">de type mafieux </w:t>
      </w:r>
      <w:r>
        <w:rPr>
          <w:lang w:val="fr-FR"/>
        </w:rPr>
        <w:t>n</w:t>
      </w:r>
      <w:r w:rsidR="00A14196">
        <w:rPr>
          <w:lang w:val="fr-FR"/>
        </w:rPr>
        <w:t>’</w:t>
      </w:r>
      <w:r>
        <w:rPr>
          <w:lang w:val="fr-FR"/>
        </w:rPr>
        <w:t xml:space="preserve">était pas prévisible car elle </w:t>
      </w:r>
      <w:r w:rsidR="008552EB">
        <w:rPr>
          <w:lang w:val="fr-FR"/>
        </w:rPr>
        <w:t>était le résultat</w:t>
      </w:r>
      <w:r>
        <w:rPr>
          <w:lang w:val="fr-FR"/>
        </w:rPr>
        <w:t xml:space="preserve"> d</w:t>
      </w:r>
      <w:r w:rsidR="00A14196">
        <w:rPr>
          <w:lang w:val="fr-FR"/>
        </w:rPr>
        <w:t>’</w:t>
      </w:r>
      <w:r>
        <w:rPr>
          <w:lang w:val="fr-FR"/>
        </w:rPr>
        <w:t>une évolution jurisprudentielle ultérieure.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43</w:t>
      </w:r>
      <w:r>
        <w:rPr>
          <w:lang w:val="fr-FR"/>
        </w:rPr>
        <w:fldChar w:fldCharType="end"/>
      </w:r>
      <w:r>
        <w:rPr>
          <w:lang w:val="fr-FR"/>
        </w:rPr>
        <w:t>.  A la suite de l</w:t>
      </w:r>
      <w:r w:rsidR="00A14196">
        <w:rPr>
          <w:lang w:val="fr-FR"/>
        </w:rPr>
        <w:t>’</w:t>
      </w:r>
      <w:r>
        <w:rPr>
          <w:lang w:val="fr-FR"/>
        </w:rPr>
        <w:t>arrêt rendu par la cour d</w:t>
      </w:r>
      <w:r w:rsidR="00A14196">
        <w:rPr>
          <w:lang w:val="fr-FR"/>
        </w:rPr>
        <w:t>’</w:t>
      </w:r>
      <w:r>
        <w:rPr>
          <w:lang w:val="fr-FR"/>
        </w:rPr>
        <w:t>appel de Palerme le 25 février 2006, cette même doléance fut réitérée dans le pourvoi introduit par le requérant en cassation.</w:t>
      </w:r>
      <w:r w:rsidRPr="00E5217F">
        <w:rPr>
          <w:lang w:val="fr-FR"/>
        </w:rPr>
        <w:t xml:space="preserve"> </w:t>
      </w:r>
      <w:r>
        <w:rPr>
          <w:lang w:val="fr-FR"/>
        </w:rPr>
        <w:t xml:space="preserve">Ce dernier fit notamment valoir que la question en cause </w:t>
      </w:r>
      <w:r w:rsidRPr="00E5217F">
        <w:rPr>
          <w:lang w:val="fr-FR"/>
        </w:rPr>
        <w:t>n</w:t>
      </w:r>
      <w:r w:rsidR="00A14196">
        <w:rPr>
          <w:lang w:val="fr-FR"/>
        </w:rPr>
        <w:t>’</w:t>
      </w:r>
      <w:r w:rsidRPr="00E5217F">
        <w:rPr>
          <w:lang w:val="fr-FR"/>
        </w:rPr>
        <w:t>avait pas fait l</w:t>
      </w:r>
      <w:r w:rsidR="00A14196">
        <w:rPr>
          <w:lang w:val="fr-FR"/>
        </w:rPr>
        <w:t>’</w:t>
      </w:r>
      <w:r w:rsidRPr="00E5217F">
        <w:rPr>
          <w:lang w:val="fr-FR"/>
        </w:rPr>
        <w:t>objet d</w:t>
      </w:r>
      <w:r w:rsidR="00A14196">
        <w:rPr>
          <w:lang w:val="fr-FR"/>
        </w:rPr>
        <w:t>’</w:t>
      </w:r>
      <w:r w:rsidRPr="00E5217F">
        <w:rPr>
          <w:lang w:val="fr-FR"/>
        </w:rPr>
        <w:t>un examen de la part des juridictions internes.</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44</w:t>
      </w:r>
      <w:r>
        <w:rPr>
          <w:lang w:val="fr-FR"/>
        </w:rPr>
        <w:fldChar w:fldCharType="end"/>
      </w:r>
      <w:r>
        <w:rPr>
          <w:lang w:val="fr-FR"/>
        </w:rPr>
        <w:t>.  Dans ces circonstances, l</w:t>
      </w:r>
      <w:r w:rsidR="00A14196">
        <w:rPr>
          <w:lang w:val="fr-FR"/>
        </w:rPr>
        <w:t>’</w:t>
      </w:r>
      <w:r>
        <w:rPr>
          <w:lang w:val="fr-FR"/>
        </w:rPr>
        <w:t>objection de non-épuisement des voies de re</w:t>
      </w:r>
      <w:r w:rsidR="00892D3A">
        <w:rPr>
          <w:lang w:val="fr-FR"/>
        </w:rPr>
        <w:t xml:space="preserve">cours internes soulevée par le </w:t>
      </w:r>
      <w:r>
        <w:rPr>
          <w:lang w:val="fr-FR"/>
        </w:rPr>
        <w:t>défendeur doit être rejetée.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45</w:t>
      </w:r>
      <w:r>
        <w:rPr>
          <w:lang w:val="fr-FR"/>
        </w:rPr>
        <w:fldChar w:fldCharType="end"/>
      </w:r>
      <w:r>
        <w:rPr>
          <w:lang w:val="fr-FR"/>
        </w:rPr>
        <w:t>.  Troisièmement, le Gouvernement estime que, en l</w:t>
      </w:r>
      <w:r w:rsidR="00A14196">
        <w:rPr>
          <w:lang w:val="fr-FR"/>
        </w:rPr>
        <w:t>’</w:t>
      </w:r>
      <w:r>
        <w:rPr>
          <w:lang w:val="fr-FR"/>
        </w:rPr>
        <w:t xml:space="preserve">espèce, si la Cour devait se pencher sur la question </w:t>
      </w:r>
      <w:r w:rsidR="005742E4">
        <w:rPr>
          <w:lang w:val="fr-FR"/>
        </w:rPr>
        <w:t>de l</w:t>
      </w:r>
      <w:r w:rsidR="00A14196">
        <w:rPr>
          <w:lang w:val="fr-FR"/>
        </w:rPr>
        <w:t>’</w:t>
      </w:r>
      <w:r w:rsidR="005742E4">
        <w:rPr>
          <w:lang w:val="fr-FR"/>
        </w:rPr>
        <w:t>existence de l</w:t>
      </w:r>
      <w:r w:rsidR="00A14196">
        <w:rPr>
          <w:lang w:val="fr-FR"/>
        </w:rPr>
        <w:t>’</w:t>
      </w:r>
      <w:r w:rsidR="005742E4">
        <w:rPr>
          <w:lang w:val="fr-FR"/>
        </w:rPr>
        <w:t xml:space="preserve">infraction de </w:t>
      </w:r>
      <w:r>
        <w:rPr>
          <w:lang w:val="fr-FR"/>
        </w:rPr>
        <w:t>concours e</w:t>
      </w:r>
      <w:r w:rsidR="005742E4">
        <w:rPr>
          <w:lang w:val="fr-FR"/>
        </w:rPr>
        <w:t xml:space="preserve">xterne en association </w:t>
      </w:r>
      <w:r w:rsidR="00C46A48">
        <w:rPr>
          <w:lang w:val="fr-FR"/>
        </w:rPr>
        <w:t>de type mafieux</w:t>
      </w:r>
      <w:r>
        <w:rPr>
          <w:lang w:val="fr-FR"/>
        </w:rPr>
        <w:t xml:space="preserve">, </w:t>
      </w:r>
      <w:r>
        <w:rPr>
          <w:rStyle w:val="sb8d990e2"/>
          <w:lang w:val="fr-FR"/>
        </w:rPr>
        <w:t xml:space="preserve">elle endosserait </w:t>
      </w:r>
      <w:r w:rsidRPr="00B15701">
        <w:rPr>
          <w:rStyle w:val="sb8d990e2"/>
          <w:lang w:val="fr-FR"/>
        </w:rPr>
        <w:t>le rôle d</w:t>
      </w:r>
      <w:r w:rsidR="00A14196">
        <w:rPr>
          <w:rStyle w:val="sb8d990e2"/>
          <w:lang w:val="fr-FR"/>
        </w:rPr>
        <w:t>’</w:t>
      </w:r>
      <w:r w:rsidRPr="00B15701">
        <w:rPr>
          <w:rStyle w:val="sb8d990e2"/>
          <w:lang w:val="fr-FR"/>
        </w:rPr>
        <w:t xml:space="preserve">un </w:t>
      </w:r>
      <w:r>
        <w:rPr>
          <w:rStyle w:val="sb8d990e2"/>
          <w:lang w:val="fr-FR"/>
        </w:rPr>
        <w:t xml:space="preserve">juge de « quatrième instance », cette question </w:t>
      </w:r>
      <w:r w:rsidR="00E270A4">
        <w:rPr>
          <w:rStyle w:val="sb8d990e2"/>
          <w:lang w:val="fr-FR"/>
        </w:rPr>
        <w:t>ayant déjà été résolue par les Sections U</w:t>
      </w:r>
      <w:r>
        <w:rPr>
          <w:rStyle w:val="sb8d990e2"/>
          <w:lang w:val="fr-FR"/>
        </w:rPr>
        <w:t xml:space="preserve">nies de la Cour de cassation. Ainsi, cette requête devrait être </w:t>
      </w:r>
      <w:r>
        <w:rPr>
          <w:lang w:val="fr-FR"/>
        </w:rPr>
        <w:t>déclarée manifestement mal fondée au sens de l</w:t>
      </w:r>
      <w:r w:rsidR="00A14196">
        <w:rPr>
          <w:lang w:val="fr-FR"/>
        </w:rPr>
        <w:t>’</w:t>
      </w:r>
      <w:r>
        <w:rPr>
          <w:lang w:val="fr-FR"/>
        </w:rPr>
        <w:t>article 35 §§ 3 et 4 de la Convention.</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46</w:t>
      </w:r>
      <w:r>
        <w:rPr>
          <w:lang w:val="fr-FR"/>
        </w:rPr>
        <w:fldChar w:fldCharType="end"/>
      </w:r>
      <w:r>
        <w:rPr>
          <w:lang w:val="fr-FR"/>
        </w:rPr>
        <w:t>.  De l</w:t>
      </w:r>
      <w:r w:rsidR="00A14196">
        <w:rPr>
          <w:lang w:val="fr-FR"/>
        </w:rPr>
        <w:t>’</w:t>
      </w:r>
      <w:r>
        <w:rPr>
          <w:lang w:val="fr-FR"/>
        </w:rPr>
        <w:t>avis du Gouvernement, l</w:t>
      </w:r>
      <w:r w:rsidR="00A14196">
        <w:rPr>
          <w:lang w:val="fr-FR"/>
        </w:rPr>
        <w:t>’</w:t>
      </w:r>
      <w:r>
        <w:rPr>
          <w:lang w:val="fr-FR"/>
        </w:rPr>
        <w:t>examen de la Cour devrait uniquement concerner le fait de savoir si, au moment où les faits reprochés au requérant ont été commis, l</w:t>
      </w:r>
      <w:r w:rsidR="00A14196">
        <w:rPr>
          <w:lang w:val="fr-FR"/>
        </w:rPr>
        <w:t>’</w:t>
      </w:r>
      <w:r>
        <w:rPr>
          <w:lang w:val="fr-FR"/>
        </w:rPr>
        <w:t>interprétation jurisprudentielle dominante en cette matière était accessible et prévisible pour celui-ci.</w:t>
      </w:r>
    </w:p>
    <w:p w:rsidR="005D44BD" w:rsidRDefault="00F66B50" w:rsidP="00F66B50">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3B0C14">
        <w:rPr>
          <w:rStyle w:val="sb8d990e2"/>
          <w:noProof/>
          <w:lang w:val="fr-FR"/>
        </w:rPr>
        <w:t>47</w:t>
      </w:r>
      <w:r>
        <w:rPr>
          <w:rStyle w:val="sb8d990e2"/>
          <w:lang w:val="fr-FR"/>
        </w:rPr>
        <w:fldChar w:fldCharType="end"/>
      </w:r>
      <w:r>
        <w:rPr>
          <w:rStyle w:val="sb8d990e2"/>
          <w:lang w:val="fr-FR"/>
        </w:rPr>
        <w:t>.  La Cour relève d</w:t>
      </w:r>
      <w:r w:rsidR="00A14196">
        <w:rPr>
          <w:rStyle w:val="sb8d990e2"/>
          <w:lang w:val="fr-FR"/>
        </w:rPr>
        <w:t>’</w:t>
      </w:r>
      <w:r>
        <w:rPr>
          <w:rStyle w:val="sb8d990e2"/>
          <w:lang w:val="fr-FR"/>
        </w:rPr>
        <w:t xml:space="preserve">emblée </w:t>
      </w:r>
      <w:r w:rsidRPr="00B15701">
        <w:rPr>
          <w:rStyle w:val="sb8d990e2"/>
          <w:lang w:val="fr-FR"/>
        </w:rPr>
        <w:t xml:space="preserve">que le grief </w:t>
      </w:r>
      <w:r>
        <w:rPr>
          <w:rStyle w:val="sb8d990e2"/>
          <w:lang w:val="fr-FR"/>
        </w:rPr>
        <w:t xml:space="preserve">en examen </w:t>
      </w:r>
      <w:r w:rsidRPr="00B15701">
        <w:rPr>
          <w:rStyle w:val="sb8d990e2"/>
          <w:lang w:val="fr-FR"/>
        </w:rPr>
        <w:t>ne porte pas sur une éventuelle violation du droit à un procès équitable (voir</w:t>
      </w:r>
      <w:r>
        <w:rPr>
          <w:rStyle w:val="sb8d990e2"/>
          <w:lang w:val="fr-FR"/>
        </w:rPr>
        <w:t xml:space="preserve"> </w:t>
      </w:r>
      <w:r w:rsidRPr="008B19B2">
        <w:rPr>
          <w:i/>
          <w:lang w:val="fr-FR"/>
        </w:rPr>
        <w:t>Contrada c. Italie (n</w:t>
      </w:r>
      <w:r w:rsidRPr="008B19B2">
        <w:rPr>
          <w:i/>
          <w:vertAlign w:val="superscript"/>
          <w:lang w:val="fr-FR"/>
        </w:rPr>
        <w:t>o</w:t>
      </w:r>
      <w:r w:rsidRPr="008B19B2">
        <w:rPr>
          <w:i/>
          <w:lang w:val="fr-FR"/>
        </w:rPr>
        <w:t xml:space="preserve"> 2)</w:t>
      </w:r>
      <w:r w:rsidRPr="008B19B2">
        <w:rPr>
          <w:lang w:val="fr-FR"/>
        </w:rPr>
        <w:t>, n</w:t>
      </w:r>
      <w:r w:rsidRPr="008B19B2">
        <w:rPr>
          <w:vertAlign w:val="superscript"/>
          <w:lang w:val="fr-FR"/>
        </w:rPr>
        <w:t>o</w:t>
      </w:r>
      <w:r w:rsidRPr="008B19B2">
        <w:rPr>
          <w:lang w:val="fr-FR"/>
        </w:rPr>
        <w:t xml:space="preserve"> 7509/08</w:t>
      </w:r>
      <w:r w:rsidRPr="008B19B2">
        <w:rPr>
          <w:snapToGrid w:val="0"/>
          <w:lang w:val="fr-FR"/>
        </w:rPr>
        <w:t xml:space="preserve">, </w:t>
      </w:r>
      <w:r>
        <w:rPr>
          <w:snapToGrid w:val="0"/>
          <w:lang w:val="fr-FR"/>
        </w:rPr>
        <w:t>§ 70</w:t>
      </w:r>
      <w:r w:rsidRPr="008B19B2">
        <w:rPr>
          <w:snapToGrid w:val="0"/>
          <w:lang w:val="fr-FR"/>
        </w:rPr>
        <w:t xml:space="preserve">, 11 </w:t>
      </w:r>
      <w:r w:rsidRPr="008B19B2">
        <w:rPr>
          <w:lang w:val="fr-FR"/>
        </w:rPr>
        <w:t>février</w:t>
      </w:r>
      <w:r w:rsidRPr="008B19B2">
        <w:rPr>
          <w:snapToGrid w:val="0"/>
          <w:lang w:val="fr-FR"/>
        </w:rPr>
        <w:t xml:space="preserve"> 2014</w:t>
      </w:r>
      <w:r>
        <w:rPr>
          <w:rStyle w:val="sb8d990e2"/>
          <w:lang w:val="fr-FR"/>
        </w:rPr>
        <w:t xml:space="preserve"> et, </w:t>
      </w:r>
      <w:r w:rsidRPr="008B19B2">
        <w:rPr>
          <w:rStyle w:val="s6b621b36"/>
          <w:i/>
          <w:lang w:val="fr-FR"/>
        </w:rPr>
        <w:t>a contrario</w:t>
      </w:r>
      <w:r w:rsidRPr="00B15701">
        <w:rPr>
          <w:rStyle w:val="sb8d990e2"/>
          <w:lang w:val="fr-FR"/>
        </w:rPr>
        <w:t>, parmi beaucoup d</w:t>
      </w:r>
      <w:r w:rsidR="00A14196">
        <w:rPr>
          <w:rStyle w:val="sb8d990e2"/>
          <w:lang w:val="fr-FR"/>
        </w:rPr>
        <w:t>’</w:t>
      </w:r>
      <w:r w:rsidRPr="00B15701">
        <w:rPr>
          <w:rStyle w:val="sb8d990e2"/>
          <w:lang w:val="fr-FR"/>
        </w:rPr>
        <w:t xml:space="preserve">autres, </w:t>
      </w:r>
      <w:r w:rsidRPr="008B19B2">
        <w:rPr>
          <w:rStyle w:val="s6b621b36"/>
          <w:i/>
          <w:lang w:val="fr-FR"/>
        </w:rPr>
        <w:t>Gäfgen c. Allemagne</w:t>
      </w:r>
      <w:r w:rsidRPr="00B15701">
        <w:rPr>
          <w:rStyle w:val="sb8d990e2"/>
          <w:lang w:val="fr-FR"/>
        </w:rPr>
        <w:t xml:space="preserve"> [GC], n</w:t>
      </w:r>
      <w:r w:rsidRPr="00082FD6">
        <w:rPr>
          <w:rStyle w:val="sea881cdf"/>
          <w:vertAlign w:val="superscript"/>
          <w:lang w:val="fr-FR"/>
        </w:rPr>
        <w:t>o</w:t>
      </w:r>
      <w:r w:rsidRPr="00B15701">
        <w:rPr>
          <w:rStyle w:val="sea881cdf"/>
          <w:lang w:val="fr-FR"/>
        </w:rPr>
        <w:t xml:space="preserve"> </w:t>
      </w:r>
      <w:r w:rsidRPr="00117E94">
        <w:rPr>
          <w:lang w:val="fr-FR"/>
        </w:rPr>
        <w:t>22978/05</w:t>
      </w:r>
      <w:r w:rsidRPr="00B15701">
        <w:rPr>
          <w:rStyle w:val="sb8d990e2"/>
          <w:lang w:val="fr-FR"/>
        </w:rPr>
        <w:t>, § 162, CEDH 2010)</w:t>
      </w:r>
      <w:r>
        <w:rPr>
          <w:rStyle w:val="sb8d990e2"/>
          <w:lang w:val="fr-FR"/>
        </w:rPr>
        <w:t xml:space="preserve"> et que c</w:t>
      </w:r>
      <w:r w:rsidR="00A14196">
        <w:rPr>
          <w:rStyle w:val="sb8d990e2"/>
          <w:lang w:val="fr-FR"/>
        </w:rPr>
        <w:t>’</w:t>
      </w:r>
      <w:r>
        <w:rPr>
          <w:rStyle w:val="sb8d990e2"/>
          <w:lang w:val="fr-FR"/>
        </w:rPr>
        <w:t>est en règle général dans ce contexte que le rôle de la Cour en tant que « quatrième instance » peut être évalué.</w:t>
      </w:r>
    </w:p>
    <w:p w:rsidR="00F66B50" w:rsidRPr="007E4C72" w:rsidRDefault="00F66B50" w:rsidP="00F66B50">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3B0C14">
        <w:rPr>
          <w:rStyle w:val="sb8d990e2"/>
          <w:noProof/>
          <w:lang w:val="fr-FR"/>
        </w:rPr>
        <w:t>48</w:t>
      </w:r>
      <w:r>
        <w:rPr>
          <w:rStyle w:val="sb8d990e2"/>
          <w:lang w:val="fr-FR"/>
        </w:rPr>
        <w:fldChar w:fldCharType="end"/>
      </w:r>
      <w:r>
        <w:rPr>
          <w:rStyle w:val="sb8d990e2"/>
          <w:lang w:val="fr-FR"/>
        </w:rPr>
        <w:t>.  En tout état de cause, la Cour estime que l</w:t>
      </w:r>
      <w:r w:rsidRPr="007E4C72">
        <w:rPr>
          <w:rStyle w:val="sb8d990e2"/>
          <w:lang w:val="fr-FR"/>
        </w:rPr>
        <w:t>es considérations du Gouvernement sont liées au fond de l</w:t>
      </w:r>
      <w:r w:rsidR="00A14196">
        <w:rPr>
          <w:rStyle w:val="sb8d990e2"/>
          <w:lang w:val="fr-FR"/>
        </w:rPr>
        <w:t>’</w:t>
      </w:r>
      <w:r w:rsidRPr="007E4C72">
        <w:rPr>
          <w:rStyle w:val="sb8d990e2"/>
          <w:lang w:val="fr-FR"/>
        </w:rPr>
        <w:t>affaire</w:t>
      </w:r>
      <w:r>
        <w:rPr>
          <w:rStyle w:val="sb8d990e2"/>
          <w:lang w:val="fr-FR"/>
        </w:rPr>
        <w:t xml:space="preserve"> et </w:t>
      </w:r>
      <w:r w:rsidRPr="007E4C72">
        <w:rPr>
          <w:rStyle w:val="sb8d990e2"/>
          <w:lang w:val="fr-FR"/>
        </w:rPr>
        <w:t>seront donc examinées ci-dessous.</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49</w:t>
      </w:r>
      <w:r>
        <w:rPr>
          <w:lang w:val="fr-FR"/>
        </w:rPr>
        <w:fldChar w:fldCharType="end"/>
      </w:r>
      <w:r w:rsidRPr="00AD412E">
        <w:rPr>
          <w:lang w:val="fr-FR"/>
        </w:rPr>
        <w:t xml:space="preserve">.  La Cour constate que </w:t>
      </w:r>
      <w:r>
        <w:rPr>
          <w:lang w:val="fr-FR"/>
        </w:rPr>
        <w:t xml:space="preserve">cette </w:t>
      </w:r>
      <w:r w:rsidRPr="00AD412E">
        <w:rPr>
          <w:lang w:val="fr-FR"/>
        </w:rPr>
        <w:t>requête n</w:t>
      </w:r>
      <w:r w:rsidR="00A14196">
        <w:rPr>
          <w:lang w:val="fr-FR"/>
        </w:rPr>
        <w:t>’</w:t>
      </w:r>
      <w:r w:rsidRPr="00AD412E">
        <w:rPr>
          <w:lang w:val="fr-FR"/>
        </w:rPr>
        <w:t>est pas manifestement mal fondée au sens de l</w:t>
      </w:r>
      <w:r w:rsidR="00A14196">
        <w:rPr>
          <w:lang w:val="fr-FR"/>
        </w:rPr>
        <w:t>’</w:t>
      </w:r>
      <w:r w:rsidRPr="00AD412E">
        <w:rPr>
          <w:lang w:val="fr-FR"/>
        </w:rPr>
        <w:t xml:space="preserve">article 35 § 3 a) de la Convention. </w:t>
      </w:r>
      <w:r w:rsidR="007450C2">
        <w:rPr>
          <w:lang w:val="fr-FR"/>
        </w:rPr>
        <w:t>Elle</w:t>
      </w:r>
      <w:r w:rsidRPr="00AD412E">
        <w:rPr>
          <w:lang w:val="fr-FR"/>
        </w:rPr>
        <w:t xml:space="preserve"> relève par ailleurs q</w:t>
      </w:r>
      <w:r w:rsidR="00516854">
        <w:rPr>
          <w:lang w:val="fr-FR"/>
        </w:rPr>
        <w:t xml:space="preserve">ue </w:t>
      </w:r>
      <w:r w:rsidR="00A9393C">
        <w:rPr>
          <w:lang w:val="fr-FR"/>
        </w:rPr>
        <w:t>celle-ci</w:t>
      </w:r>
      <w:r w:rsidRPr="00AD412E">
        <w:rPr>
          <w:lang w:val="fr-FR"/>
        </w:rPr>
        <w:t xml:space="preserve"> ne se heurte à aucun autre motif d</w:t>
      </w:r>
      <w:r w:rsidR="00A14196">
        <w:rPr>
          <w:lang w:val="fr-FR"/>
        </w:rPr>
        <w:t>’</w:t>
      </w:r>
      <w:r w:rsidRPr="00AD412E">
        <w:rPr>
          <w:lang w:val="fr-FR"/>
        </w:rPr>
        <w:t>irrecevabilité. Il convient donc de la déclarer recevable.</w:t>
      </w:r>
    </w:p>
    <w:p w:rsidR="00F66B50" w:rsidRPr="00AD412E" w:rsidRDefault="00F66B50" w:rsidP="00F66B50">
      <w:pPr>
        <w:pStyle w:val="ECHRHeading2"/>
        <w:outlineLvl w:val="0"/>
        <w:rPr>
          <w:lang w:val="fr-FR"/>
        </w:rPr>
      </w:pPr>
      <w:r w:rsidRPr="00AD412E">
        <w:rPr>
          <w:lang w:val="fr-FR"/>
        </w:rPr>
        <w:t>B.  Sur le fond</w:t>
      </w:r>
    </w:p>
    <w:p w:rsidR="00071CB3" w:rsidRDefault="00885A07" w:rsidP="00885A07">
      <w:pPr>
        <w:pStyle w:val="ECHRHeading3"/>
        <w:rPr>
          <w:lang w:val="fr-FR"/>
        </w:rPr>
      </w:pPr>
      <w:r>
        <w:rPr>
          <w:lang w:val="fr-FR"/>
        </w:rPr>
        <w:t>1.  </w:t>
      </w:r>
      <w:r w:rsidR="00071CB3">
        <w:rPr>
          <w:lang w:val="fr-FR"/>
        </w:rPr>
        <w:t>La position des parties</w:t>
      </w:r>
    </w:p>
    <w:p w:rsidR="00F66B50" w:rsidRPr="00702634"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50</w:t>
      </w:r>
      <w:r>
        <w:rPr>
          <w:lang w:val="fr-FR"/>
        </w:rPr>
        <w:fldChar w:fldCharType="end"/>
      </w:r>
      <w:r>
        <w:rPr>
          <w:lang w:val="fr-FR"/>
        </w:rPr>
        <w:t>.  Le Gouvernement obse</w:t>
      </w:r>
      <w:r w:rsidR="00BB7920">
        <w:rPr>
          <w:lang w:val="fr-FR"/>
        </w:rPr>
        <w:t>rve d</w:t>
      </w:r>
      <w:r w:rsidR="00A14196">
        <w:rPr>
          <w:lang w:val="fr-FR"/>
        </w:rPr>
        <w:t>’</w:t>
      </w:r>
      <w:r w:rsidR="00BB7920">
        <w:rPr>
          <w:lang w:val="fr-FR"/>
        </w:rPr>
        <w:t>emblée que la notion de concours externe</w:t>
      </w:r>
      <w:r>
        <w:rPr>
          <w:lang w:val="fr-FR"/>
        </w:rPr>
        <w:t xml:space="preserve"> est apparue pour </w:t>
      </w:r>
      <w:r w:rsidRPr="00702634">
        <w:rPr>
          <w:lang w:val="fr-FR"/>
        </w:rPr>
        <w:t xml:space="preserve">la première fois dans plusieurs </w:t>
      </w:r>
      <w:r w:rsidR="009D0819" w:rsidRPr="00702634">
        <w:rPr>
          <w:lang w:val="fr-FR"/>
        </w:rPr>
        <w:t>arrêts</w:t>
      </w:r>
      <w:r w:rsidRPr="00702634">
        <w:rPr>
          <w:lang w:val="fr-FR"/>
        </w:rPr>
        <w:t xml:space="preserve"> </w:t>
      </w:r>
      <w:r w:rsidR="002010C3" w:rsidRPr="00702634">
        <w:rPr>
          <w:lang w:val="fr-FR"/>
        </w:rPr>
        <w:t>à partir de la fin des années soixante du siècle dernier, d</w:t>
      </w:r>
      <w:r w:rsidR="00A14196">
        <w:rPr>
          <w:lang w:val="fr-FR"/>
        </w:rPr>
        <w:t>’</w:t>
      </w:r>
      <w:r w:rsidR="002010C3" w:rsidRPr="00702634">
        <w:rPr>
          <w:lang w:val="fr-FR"/>
        </w:rPr>
        <w:t xml:space="preserve">abord </w:t>
      </w:r>
      <w:r w:rsidRPr="00702634">
        <w:rPr>
          <w:lang w:val="fr-FR"/>
        </w:rPr>
        <w:t xml:space="preserve">en matière de </w:t>
      </w:r>
      <w:r w:rsidR="00391A06" w:rsidRPr="00702634">
        <w:rPr>
          <w:lang w:val="fr-FR"/>
        </w:rPr>
        <w:t>conspiration politique à travers la constitution d</w:t>
      </w:r>
      <w:r w:rsidR="00A14196">
        <w:rPr>
          <w:lang w:val="fr-FR"/>
        </w:rPr>
        <w:t>’</w:t>
      </w:r>
      <w:r w:rsidR="00391A06" w:rsidRPr="00702634">
        <w:rPr>
          <w:lang w:val="fr-FR"/>
        </w:rPr>
        <w:t>une association (</w:t>
      </w:r>
      <w:r w:rsidR="002010C3" w:rsidRPr="00702634">
        <w:rPr>
          <w:lang w:val="fr-FR"/>
        </w:rPr>
        <w:t>voir</w:t>
      </w:r>
      <w:r w:rsidR="004B3A19" w:rsidRPr="00702634">
        <w:rPr>
          <w:lang w:val="fr-FR"/>
        </w:rPr>
        <w:t xml:space="preserve"> </w:t>
      </w:r>
      <w:r w:rsidR="002010C3" w:rsidRPr="00702634">
        <w:rPr>
          <w:lang w:val="fr-FR"/>
        </w:rPr>
        <w:t>l</w:t>
      </w:r>
      <w:r w:rsidR="00A14196">
        <w:rPr>
          <w:lang w:val="fr-FR"/>
        </w:rPr>
        <w:t>’</w:t>
      </w:r>
      <w:r w:rsidR="002010C3" w:rsidRPr="00702634">
        <w:rPr>
          <w:lang w:val="fr-FR"/>
        </w:rPr>
        <w:t xml:space="preserve">arrêt de la Cour de cassation </w:t>
      </w:r>
      <w:r w:rsidR="00391A06" w:rsidRPr="00702634">
        <w:rPr>
          <w:i/>
          <w:lang w:val="fr-FR"/>
        </w:rPr>
        <w:t>Muther</w:t>
      </w:r>
      <w:r w:rsidR="00391A06" w:rsidRPr="00702634">
        <w:rPr>
          <w:lang w:val="fr-FR"/>
        </w:rPr>
        <w:t>, du 27 novembre 1968</w:t>
      </w:r>
      <w:r w:rsidR="002010C3" w:rsidRPr="00702634">
        <w:rPr>
          <w:lang w:val="fr-FR"/>
        </w:rPr>
        <w:t xml:space="preserve">) et, ensuite, en matière de </w:t>
      </w:r>
      <w:r w:rsidR="00197322" w:rsidRPr="00702634">
        <w:rPr>
          <w:lang w:val="fr-FR"/>
        </w:rPr>
        <w:lastRenderedPageBreak/>
        <w:t>terrorisme</w:t>
      </w:r>
      <w:r w:rsidR="00E40987" w:rsidRPr="00702634">
        <w:rPr>
          <w:lang w:val="fr-FR"/>
        </w:rPr>
        <w:t xml:space="preserve"> </w:t>
      </w:r>
      <w:r w:rsidR="002010C3" w:rsidRPr="00702634">
        <w:rPr>
          <w:lang w:val="fr-FR"/>
        </w:rPr>
        <w:t>(</w:t>
      </w:r>
      <w:r w:rsidR="004B3A19" w:rsidRPr="00702634">
        <w:rPr>
          <w:lang w:val="fr-FR"/>
        </w:rPr>
        <w:t>voir</w:t>
      </w:r>
      <w:r w:rsidR="00E40987" w:rsidRPr="00702634">
        <w:rPr>
          <w:lang w:val="fr-FR"/>
        </w:rPr>
        <w:t>,</w:t>
      </w:r>
      <w:r w:rsidR="002010C3" w:rsidRPr="00702634">
        <w:rPr>
          <w:lang w:val="fr-FR"/>
        </w:rPr>
        <w:t xml:space="preserve"> entre autres</w:t>
      </w:r>
      <w:r w:rsidR="00E40987" w:rsidRPr="00702634">
        <w:rPr>
          <w:lang w:val="fr-FR"/>
        </w:rPr>
        <w:t>,</w:t>
      </w:r>
      <w:r w:rsidR="002010C3" w:rsidRPr="00702634">
        <w:rPr>
          <w:lang w:val="fr-FR"/>
        </w:rPr>
        <w:t xml:space="preserve"> les arrêts de la Cour de cassation </w:t>
      </w:r>
      <w:r w:rsidR="00C91336" w:rsidRPr="00702634">
        <w:rPr>
          <w:i/>
          <w:lang w:val="fr-FR"/>
        </w:rPr>
        <w:t>Cucco</w:t>
      </w:r>
      <w:r w:rsidR="00C91336" w:rsidRPr="00702634">
        <w:rPr>
          <w:lang w:val="fr-FR"/>
        </w:rPr>
        <w:t xml:space="preserve"> du 1</w:t>
      </w:r>
      <w:r w:rsidR="00C91336" w:rsidRPr="00702634">
        <w:rPr>
          <w:vertAlign w:val="superscript"/>
          <w:lang w:val="fr-FR"/>
        </w:rPr>
        <w:t>er</w:t>
      </w:r>
      <w:r w:rsidR="008E4ABD" w:rsidRPr="00702634">
        <w:rPr>
          <w:vertAlign w:val="superscript"/>
          <w:lang w:val="fr-FR"/>
        </w:rPr>
        <w:t> </w:t>
      </w:r>
      <w:r w:rsidR="00C91336" w:rsidRPr="00702634">
        <w:rPr>
          <w:lang w:val="fr-FR"/>
        </w:rPr>
        <w:t>juin 1977</w:t>
      </w:r>
      <w:r w:rsidR="00E40987" w:rsidRPr="00702634">
        <w:rPr>
          <w:lang w:val="fr-FR"/>
        </w:rPr>
        <w:t>,</w:t>
      </w:r>
      <w:r w:rsidR="00C91336" w:rsidRPr="00702634">
        <w:rPr>
          <w:lang w:val="fr-FR"/>
        </w:rPr>
        <w:t xml:space="preserve"> </w:t>
      </w:r>
      <w:r w:rsidR="00C91336" w:rsidRPr="00702634">
        <w:rPr>
          <w:i/>
          <w:lang w:val="fr-FR"/>
        </w:rPr>
        <w:t>Zuffada</w:t>
      </w:r>
      <w:r w:rsidR="00C91336" w:rsidRPr="00702634">
        <w:rPr>
          <w:lang w:val="fr-FR"/>
        </w:rPr>
        <w:t xml:space="preserve"> du 18 mars 1978</w:t>
      </w:r>
      <w:r w:rsidR="00E40987" w:rsidRPr="00702634">
        <w:rPr>
          <w:lang w:val="fr-FR"/>
        </w:rPr>
        <w:t xml:space="preserve"> et </w:t>
      </w:r>
      <w:r w:rsidR="00E40987" w:rsidRPr="00702634">
        <w:rPr>
          <w:i/>
          <w:lang w:val="fr-FR"/>
        </w:rPr>
        <w:t>Arancio</w:t>
      </w:r>
      <w:r w:rsidR="00E40987" w:rsidRPr="00702634">
        <w:rPr>
          <w:lang w:val="fr-FR"/>
        </w:rPr>
        <w:t xml:space="preserve"> du 25</w:t>
      </w:r>
      <w:r w:rsidR="00197322" w:rsidRPr="00702634">
        <w:rPr>
          <w:lang w:val="fr-FR"/>
        </w:rPr>
        <w:t> </w:t>
      </w:r>
      <w:r w:rsidR="00E40987" w:rsidRPr="00702634">
        <w:rPr>
          <w:lang w:val="fr-FR"/>
        </w:rPr>
        <w:t>octobre 1983</w:t>
      </w:r>
      <w:r w:rsidR="002010C3" w:rsidRPr="00702634">
        <w:rPr>
          <w:lang w:val="fr-FR"/>
        </w:rPr>
        <w:t>)</w:t>
      </w:r>
      <w:r w:rsidR="00C91336" w:rsidRPr="00702634">
        <w:rPr>
          <w:lang w:val="fr-FR"/>
        </w:rPr>
        <w:t>.</w:t>
      </w:r>
      <w:r w:rsidR="002010C3" w:rsidRPr="00702634">
        <w:rPr>
          <w:lang w:val="fr-FR"/>
        </w:rPr>
        <w:t xml:space="preserve"> La jurisprudence </w:t>
      </w:r>
      <w:r w:rsidR="00E25835" w:rsidRPr="00702634">
        <w:rPr>
          <w:lang w:val="fr-FR"/>
        </w:rPr>
        <w:t>portant sur</w:t>
      </w:r>
      <w:r w:rsidR="002010C3" w:rsidRPr="00702634">
        <w:rPr>
          <w:lang w:val="fr-FR"/>
        </w:rPr>
        <w:t xml:space="preserve"> la notion de concours externe était donc bien établie même dans une période précéd</w:t>
      </w:r>
      <w:r w:rsidR="008E4ABD" w:rsidRPr="00702634">
        <w:rPr>
          <w:lang w:val="fr-FR"/>
        </w:rPr>
        <w:t>ant</w:t>
      </w:r>
      <w:r w:rsidR="002010C3" w:rsidRPr="00702634">
        <w:rPr>
          <w:lang w:val="fr-FR"/>
        </w:rPr>
        <w:t xml:space="preserve"> les faits contestés au requérant.</w:t>
      </w:r>
    </w:p>
    <w:p w:rsidR="00F66B50" w:rsidRDefault="00F66B50" w:rsidP="00F66B50">
      <w:pPr>
        <w:pStyle w:val="ECHRPara"/>
        <w:rPr>
          <w:lang w:val="fr-FR"/>
        </w:rPr>
      </w:pPr>
      <w:r w:rsidRPr="00702634">
        <w:rPr>
          <w:lang w:val="fr-FR"/>
        </w:rPr>
        <w:fldChar w:fldCharType="begin"/>
      </w:r>
      <w:r w:rsidRPr="00702634">
        <w:rPr>
          <w:lang w:val="fr-FR"/>
        </w:rPr>
        <w:instrText xml:space="preserve"> SEQ level0 \*arabic </w:instrText>
      </w:r>
      <w:r w:rsidRPr="00702634">
        <w:rPr>
          <w:lang w:val="fr-FR"/>
        </w:rPr>
        <w:fldChar w:fldCharType="separate"/>
      </w:r>
      <w:r w:rsidR="003B0C14">
        <w:rPr>
          <w:noProof/>
          <w:lang w:val="fr-FR"/>
        </w:rPr>
        <w:t>51</w:t>
      </w:r>
      <w:r w:rsidRPr="00702634">
        <w:rPr>
          <w:lang w:val="fr-FR"/>
        </w:rPr>
        <w:fldChar w:fldCharType="end"/>
      </w:r>
      <w:r w:rsidRPr="00702634">
        <w:rPr>
          <w:lang w:val="fr-FR"/>
        </w:rPr>
        <w:t xml:space="preserve">.  La même notion a ensuite été appliquée dans des affaires ayant trait </w:t>
      </w:r>
      <w:r w:rsidR="00057211" w:rsidRPr="00702634">
        <w:rPr>
          <w:lang w:val="fr-FR"/>
        </w:rPr>
        <w:t>à l</w:t>
      </w:r>
      <w:r w:rsidR="00A14196">
        <w:rPr>
          <w:lang w:val="fr-FR"/>
        </w:rPr>
        <w:t>’</w:t>
      </w:r>
      <w:r w:rsidR="00057211" w:rsidRPr="00702634">
        <w:rPr>
          <w:lang w:val="fr-FR"/>
        </w:rPr>
        <w:t>infraction</w:t>
      </w:r>
      <w:r w:rsidRPr="00702634">
        <w:rPr>
          <w:lang w:val="fr-FR"/>
        </w:rPr>
        <w:t xml:space="preserve"> d</w:t>
      </w:r>
      <w:r w:rsidR="00A14196">
        <w:rPr>
          <w:lang w:val="fr-FR"/>
        </w:rPr>
        <w:t>’</w:t>
      </w:r>
      <w:r w:rsidRPr="00702634">
        <w:rPr>
          <w:lang w:val="fr-FR"/>
        </w:rPr>
        <w:t xml:space="preserve">association </w:t>
      </w:r>
      <w:r w:rsidR="00C46A48" w:rsidRPr="00702634">
        <w:rPr>
          <w:lang w:val="fr-FR"/>
        </w:rPr>
        <w:t>de type mafieux</w:t>
      </w:r>
      <w:r w:rsidRPr="00702634">
        <w:rPr>
          <w:lang w:val="fr-FR"/>
        </w:rPr>
        <w:t>, à commencer</w:t>
      </w:r>
      <w:r>
        <w:rPr>
          <w:lang w:val="fr-FR"/>
        </w:rPr>
        <w:t xml:space="preserve"> par les arrêts </w:t>
      </w:r>
      <w:r w:rsidRPr="00B32A4E">
        <w:rPr>
          <w:i/>
          <w:lang w:val="fr-FR"/>
        </w:rPr>
        <w:t>Altivalle</w:t>
      </w:r>
      <w:r w:rsidR="001F2DD1">
        <w:rPr>
          <w:lang w:val="fr-FR"/>
        </w:rPr>
        <w:t>, n</w:t>
      </w:r>
      <w:r w:rsidR="00E40263" w:rsidRPr="00E40263">
        <w:rPr>
          <w:vertAlign w:val="superscript"/>
          <w:lang w:val="fr-FR"/>
        </w:rPr>
        <w:t>o</w:t>
      </w:r>
      <w:r w:rsidR="001F2DD1">
        <w:rPr>
          <w:lang w:val="fr-FR"/>
        </w:rPr>
        <w:t> 3492</w:t>
      </w:r>
      <w:r>
        <w:rPr>
          <w:lang w:val="fr-FR"/>
        </w:rPr>
        <w:t xml:space="preserve"> du 13 juin 1987, </w:t>
      </w:r>
      <w:r w:rsidRPr="003C2FA3">
        <w:rPr>
          <w:i/>
          <w:lang w:val="fr-FR"/>
        </w:rPr>
        <w:t>Barbella</w:t>
      </w:r>
      <w:r>
        <w:rPr>
          <w:lang w:val="fr-FR"/>
        </w:rPr>
        <w:t>, n</w:t>
      </w:r>
      <w:r w:rsidR="00E40263" w:rsidRPr="00E40263">
        <w:rPr>
          <w:vertAlign w:val="superscript"/>
          <w:lang w:val="fr-FR"/>
        </w:rPr>
        <w:t>o</w:t>
      </w:r>
      <w:r>
        <w:rPr>
          <w:lang w:val="fr-FR"/>
        </w:rPr>
        <w:t xml:space="preserve"> 9242 du 4 février 1988 et </w:t>
      </w:r>
      <w:r w:rsidRPr="001C30AE">
        <w:rPr>
          <w:i/>
          <w:lang w:val="fr-FR"/>
        </w:rPr>
        <w:t>Altomonte</w:t>
      </w:r>
      <w:r>
        <w:rPr>
          <w:i/>
          <w:lang w:val="fr-FR"/>
        </w:rPr>
        <w:t>,</w:t>
      </w:r>
      <w:r>
        <w:rPr>
          <w:lang w:val="fr-FR"/>
        </w:rPr>
        <w:t xml:space="preserve"> n</w:t>
      </w:r>
      <w:r w:rsidR="00E40263" w:rsidRPr="00E40263">
        <w:rPr>
          <w:vertAlign w:val="superscript"/>
          <w:lang w:val="fr-FR"/>
        </w:rPr>
        <w:t>o</w:t>
      </w:r>
      <w:r>
        <w:rPr>
          <w:lang w:val="fr-FR"/>
        </w:rPr>
        <w:t> 4805 du 23 novembre 1992.</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52</w:t>
      </w:r>
      <w:r>
        <w:rPr>
          <w:lang w:val="fr-FR"/>
        </w:rPr>
        <w:fldChar w:fldCharType="end"/>
      </w:r>
      <w:r>
        <w:rPr>
          <w:lang w:val="fr-FR"/>
        </w:rPr>
        <w:t>.  Le Gouvernement admet que, entre la fin des années quatre-vingt et le début des années quatre-vingt-dix du siècle dernier, la jurispruden</w:t>
      </w:r>
      <w:r w:rsidR="00DB6196">
        <w:rPr>
          <w:lang w:val="fr-FR"/>
        </w:rPr>
        <w:t xml:space="preserve">ce a parfois </w:t>
      </w:r>
      <w:r w:rsidR="00086E5A">
        <w:rPr>
          <w:lang w:val="fr-FR"/>
        </w:rPr>
        <w:t>réfuté</w:t>
      </w:r>
      <w:r w:rsidR="00DB6196">
        <w:rPr>
          <w:lang w:val="fr-FR"/>
        </w:rPr>
        <w:t xml:space="preserve"> l</w:t>
      </w:r>
      <w:r w:rsidR="00A14196">
        <w:rPr>
          <w:lang w:val="fr-FR"/>
        </w:rPr>
        <w:t>’</w:t>
      </w:r>
      <w:r w:rsidR="00DB6196">
        <w:rPr>
          <w:lang w:val="fr-FR"/>
        </w:rPr>
        <w:t>existence de l</w:t>
      </w:r>
      <w:r w:rsidR="00A14196">
        <w:rPr>
          <w:lang w:val="fr-FR"/>
        </w:rPr>
        <w:t>’</w:t>
      </w:r>
      <w:r w:rsidR="00DB6196">
        <w:rPr>
          <w:lang w:val="fr-FR"/>
        </w:rPr>
        <w:t xml:space="preserve">infraction </w:t>
      </w:r>
      <w:r>
        <w:rPr>
          <w:lang w:val="fr-FR"/>
        </w:rPr>
        <w:t xml:space="preserve">de concours matériel externe en association </w:t>
      </w:r>
      <w:r w:rsidR="00C46A48">
        <w:rPr>
          <w:lang w:val="fr-FR"/>
        </w:rPr>
        <w:t xml:space="preserve">de type mafieux </w:t>
      </w:r>
      <w:r>
        <w:rPr>
          <w:lang w:val="fr-FR"/>
        </w:rPr>
        <w:t>(</w:t>
      </w:r>
      <w:r w:rsidRPr="0025431C">
        <w:rPr>
          <w:i/>
          <w:lang w:val="fr-FR"/>
        </w:rPr>
        <w:t>Cillari</w:t>
      </w:r>
      <w:r>
        <w:rPr>
          <w:i/>
          <w:lang w:val="fr-FR"/>
        </w:rPr>
        <w:t xml:space="preserve">, </w:t>
      </w:r>
      <w:r w:rsidR="001F2DD1">
        <w:rPr>
          <w:lang w:val="fr-FR"/>
        </w:rPr>
        <w:t>n</w:t>
      </w:r>
      <w:r w:rsidR="00E40263" w:rsidRPr="00E40263">
        <w:rPr>
          <w:vertAlign w:val="superscript"/>
          <w:lang w:val="fr-FR"/>
        </w:rPr>
        <w:t>o</w:t>
      </w:r>
      <w:r w:rsidR="001F2DD1">
        <w:rPr>
          <w:lang w:val="fr-FR"/>
        </w:rPr>
        <w:t xml:space="preserve"> 8092</w:t>
      </w:r>
      <w:r>
        <w:rPr>
          <w:lang w:val="fr-FR"/>
        </w:rPr>
        <w:t xml:space="preserve"> du 14 juillet 1987</w:t>
      </w:r>
      <w:r w:rsidR="001F2DD1">
        <w:rPr>
          <w:lang w:val="fr-FR"/>
        </w:rPr>
        <w:t>,</w:t>
      </w:r>
      <w:r>
        <w:rPr>
          <w:lang w:val="fr-FR"/>
        </w:rPr>
        <w:t xml:space="preserve"> et </w:t>
      </w:r>
      <w:r w:rsidRPr="00AC2BCB">
        <w:rPr>
          <w:i/>
          <w:lang w:val="fr-FR"/>
        </w:rPr>
        <w:t>Agostani</w:t>
      </w:r>
      <w:r w:rsidR="001F2DD1">
        <w:rPr>
          <w:lang w:val="fr-FR"/>
        </w:rPr>
        <w:t>, n</w:t>
      </w:r>
      <w:r w:rsidR="00E40263" w:rsidRPr="00E40263">
        <w:rPr>
          <w:vertAlign w:val="superscript"/>
          <w:lang w:val="fr-FR"/>
        </w:rPr>
        <w:t>o</w:t>
      </w:r>
      <w:r w:rsidR="001F2DD1">
        <w:rPr>
          <w:lang w:val="fr-FR"/>
        </w:rPr>
        <w:t xml:space="preserve"> 8864</w:t>
      </w:r>
      <w:r>
        <w:rPr>
          <w:lang w:val="fr-FR"/>
        </w:rPr>
        <w:t xml:space="preserve"> du 27 </w:t>
      </w:r>
      <w:r w:rsidR="006E4C23">
        <w:rPr>
          <w:lang w:val="fr-FR"/>
        </w:rPr>
        <w:t>juin 1989). Ces décisions excluai</w:t>
      </w:r>
      <w:r>
        <w:rPr>
          <w:lang w:val="fr-FR"/>
        </w:rPr>
        <w:t>ent l</w:t>
      </w:r>
      <w:r w:rsidR="00A14196">
        <w:rPr>
          <w:lang w:val="fr-FR"/>
        </w:rPr>
        <w:t>’</w:t>
      </w:r>
      <w:r>
        <w:rPr>
          <w:lang w:val="fr-FR"/>
        </w:rPr>
        <w:t>existence d</w:t>
      </w:r>
      <w:r w:rsidR="00A14196">
        <w:rPr>
          <w:lang w:val="fr-FR"/>
        </w:rPr>
        <w:t>’</w:t>
      </w:r>
      <w:r>
        <w:rPr>
          <w:lang w:val="fr-FR"/>
        </w:rPr>
        <w:t>une situation intermédiaire entre la participation à l</w:t>
      </w:r>
      <w:r w:rsidR="00A14196">
        <w:rPr>
          <w:lang w:val="fr-FR"/>
        </w:rPr>
        <w:t>’</w:t>
      </w:r>
      <w:r>
        <w:rPr>
          <w:lang w:val="fr-FR"/>
        </w:rPr>
        <w:t xml:space="preserve">association </w:t>
      </w:r>
      <w:r w:rsidR="00C46A48">
        <w:rPr>
          <w:lang w:val="fr-FR"/>
        </w:rPr>
        <w:t xml:space="preserve">de type mafieux </w:t>
      </w:r>
      <w:r>
        <w:rPr>
          <w:lang w:val="fr-FR"/>
        </w:rPr>
        <w:t>et l</w:t>
      </w:r>
      <w:r w:rsidR="00A14196">
        <w:rPr>
          <w:lang w:val="fr-FR"/>
        </w:rPr>
        <w:t>’</w:t>
      </w:r>
      <w:r>
        <w:rPr>
          <w:lang w:val="fr-FR"/>
        </w:rPr>
        <w:t>extranéité à celle-ci, qualifiant les faits des espèces de participation au sens de l</w:t>
      </w:r>
      <w:r w:rsidR="00A14196">
        <w:rPr>
          <w:lang w:val="fr-FR"/>
        </w:rPr>
        <w:t>’</w:t>
      </w:r>
      <w:r>
        <w:rPr>
          <w:lang w:val="fr-FR"/>
        </w:rPr>
        <w:t xml:space="preserve">article 416 du code pénal. Le conflit de jurisprudence a toutefois été résolu définitivement par la Cour de cassation </w:t>
      </w:r>
      <w:r w:rsidR="00600DF8">
        <w:rPr>
          <w:lang w:val="fr-FR"/>
        </w:rPr>
        <w:t xml:space="preserve">en formation plénière </w:t>
      </w:r>
      <w:r>
        <w:rPr>
          <w:lang w:val="fr-FR"/>
        </w:rPr>
        <w:t>dans l</w:t>
      </w:r>
      <w:r w:rsidR="00A14196">
        <w:rPr>
          <w:lang w:val="fr-FR"/>
        </w:rPr>
        <w:t>’</w:t>
      </w:r>
      <w:r>
        <w:rPr>
          <w:lang w:val="fr-FR"/>
        </w:rPr>
        <w:t xml:space="preserve">arrêt </w:t>
      </w:r>
      <w:r w:rsidRPr="00AE566C">
        <w:rPr>
          <w:i/>
          <w:lang w:val="fr-FR"/>
        </w:rPr>
        <w:t>Demitry</w:t>
      </w:r>
      <w:r w:rsidR="00B87705">
        <w:rPr>
          <w:lang w:val="fr-FR"/>
        </w:rPr>
        <w:t>, n</w:t>
      </w:r>
      <w:r w:rsidR="00E40263" w:rsidRPr="00E40263">
        <w:rPr>
          <w:vertAlign w:val="superscript"/>
          <w:lang w:val="fr-FR"/>
        </w:rPr>
        <w:t>o</w:t>
      </w:r>
      <w:r w:rsidR="00B87705">
        <w:rPr>
          <w:lang w:val="fr-FR"/>
        </w:rPr>
        <w:t xml:space="preserve"> 16 du 5 octobre 1994,</w:t>
      </w:r>
      <w:r>
        <w:rPr>
          <w:lang w:val="fr-FR"/>
        </w:rPr>
        <w:t xml:space="preserve"> lequel a défini les limites de l</w:t>
      </w:r>
      <w:r w:rsidR="00A14196">
        <w:rPr>
          <w:lang w:val="fr-FR"/>
        </w:rPr>
        <w:t>’</w:t>
      </w:r>
      <w:r>
        <w:rPr>
          <w:lang w:val="fr-FR"/>
        </w:rPr>
        <w:t>applicabilité de l</w:t>
      </w:r>
      <w:r w:rsidR="00A14196">
        <w:rPr>
          <w:lang w:val="fr-FR"/>
        </w:rPr>
        <w:t>’</w:t>
      </w:r>
      <w:r>
        <w:rPr>
          <w:lang w:val="fr-FR"/>
        </w:rPr>
        <w:t xml:space="preserve">infraction litigieuse fournissant </w:t>
      </w:r>
      <w:r w:rsidR="00397B37">
        <w:rPr>
          <w:lang w:val="fr-FR"/>
        </w:rPr>
        <w:t xml:space="preserve">ainsi </w:t>
      </w:r>
      <w:r>
        <w:rPr>
          <w:lang w:val="fr-FR"/>
        </w:rPr>
        <w:t>une interprétation clarificatrice de la matière.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53</w:t>
      </w:r>
      <w:r>
        <w:rPr>
          <w:lang w:val="fr-FR"/>
        </w:rPr>
        <w:fldChar w:fldCharType="end"/>
      </w:r>
      <w:r>
        <w:rPr>
          <w:lang w:val="fr-FR"/>
        </w:rPr>
        <w:t xml:space="preserve">.  Le Gouvernement soutient donc que les décisions </w:t>
      </w:r>
      <w:r w:rsidR="00356EC2">
        <w:rPr>
          <w:lang w:val="fr-FR"/>
        </w:rPr>
        <w:t>réfutant</w:t>
      </w:r>
      <w:r w:rsidR="00CC3D04">
        <w:rPr>
          <w:lang w:val="fr-FR"/>
        </w:rPr>
        <w:t xml:space="preserve"> l</w:t>
      </w:r>
      <w:r w:rsidR="00A14196">
        <w:rPr>
          <w:lang w:val="fr-FR"/>
        </w:rPr>
        <w:t>’</w:t>
      </w:r>
      <w:r w:rsidR="00CC3D04">
        <w:rPr>
          <w:lang w:val="fr-FR"/>
        </w:rPr>
        <w:t xml:space="preserve">existence </w:t>
      </w:r>
      <w:r w:rsidR="008C25EA">
        <w:rPr>
          <w:lang w:val="fr-FR"/>
        </w:rPr>
        <w:t>de l</w:t>
      </w:r>
      <w:r w:rsidR="00A14196">
        <w:rPr>
          <w:lang w:val="fr-FR"/>
        </w:rPr>
        <w:t>’</w:t>
      </w:r>
      <w:r w:rsidR="008C25EA">
        <w:rPr>
          <w:lang w:val="fr-FR"/>
        </w:rPr>
        <w:t>infraction</w:t>
      </w:r>
      <w:r w:rsidR="00CC3D04">
        <w:rPr>
          <w:lang w:val="fr-FR"/>
        </w:rPr>
        <w:t xml:space="preserve"> de </w:t>
      </w:r>
      <w:r>
        <w:rPr>
          <w:lang w:val="fr-FR"/>
        </w:rPr>
        <w:t>concours e</w:t>
      </w:r>
      <w:r w:rsidR="00CC3D04">
        <w:rPr>
          <w:lang w:val="fr-FR"/>
        </w:rPr>
        <w:t xml:space="preserve">xterne en association </w:t>
      </w:r>
      <w:r w:rsidR="00C46A48">
        <w:rPr>
          <w:lang w:val="fr-FR"/>
        </w:rPr>
        <w:t xml:space="preserve">de type mafieux </w:t>
      </w:r>
      <w:r>
        <w:rPr>
          <w:lang w:val="fr-FR"/>
        </w:rPr>
        <w:t>n</w:t>
      </w:r>
      <w:r w:rsidR="00A14196">
        <w:rPr>
          <w:lang w:val="fr-FR"/>
        </w:rPr>
        <w:t>’</w:t>
      </w:r>
      <w:r>
        <w:rPr>
          <w:lang w:val="fr-FR"/>
        </w:rPr>
        <w:t xml:space="preserve">ont été que minoritaires et la jurisprudence </w:t>
      </w:r>
      <w:r w:rsidR="0079519C">
        <w:rPr>
          <w:lang w:val="fr-FR"/>
        </w:rPr>
        <w:t xml:space="preserve">a reconnu </w:t>
      </w:r>
      <w:r>
        <w:rPr>
          <w:lang w:val="fr-FR"/>
        </w:rPr>
        <w:t xml:space="preserve">cette infraction </w:t>
      </w:r>
      <w:r w:rsidR="00356EC2">
        <w:rPr>
          <w:lang w:val="fr-FR"/>
        </w:rPr>
        <w:t>dès le</w:t>
      </w:r>
      <w:r w:rsidR="00C70F31">
        <w:rPr>
          <w:lang w:val="fr-FR"/>
        </w:rPr>
        <w:t xml:space="preserve"> début (à savoir de 1968 à</w:t>
      </w:r>
      <w:r>
        <w:rPr>
          <w:lang w:val="fr-FR"/>
        </w:rPr>
        <w:t xml:space="preserve"> 1989).</w:t>
      </w:r>
    </w:p>
    <w:p w:rsidR="005D44BD"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54</w:t>
      </w:r>
      <w:r>
        <w:rPr>
          <w:lang w:val="fr-FR"/>
        </w:rPr>
        <w:fldChar w:fldCharType="end"/>
      </w:r>
      <w:r>
        <w:rPr>
          <w:lang w:val="fr-FR"/>
        </w:rPr>
        <w:t>.  Ainsi, à l</w:t>
      </w:r>
      <w:r w:rsidR="00A14196">
        <w:rPr>
          <w:lang w:val="fr-FR"/>
        </w:rPr>
        <w:t>’</w:t>
      </w:r>
      <w:r>
        <w:rPr>
          <w:lang w:val="fr-FR"/>
        </w:rPr>
        <w:t>époque où le requérant a commis les faits qui lui ont été reproché (1978-1988) la jurisprudence interne en la matière n</w:t>
      </w:r>
      <w:r w:rsidR="00A14196">
        <w:rPr>
          <w:lang w:val="fr-FR"/>
        </w:rPr>
        <w:t>’</w:t>
      </w:r>
      <w:r w:rsidR="0065726E">
        <w:rPr>
          <w:lang w:val="fr-FR"/>
        </w:rPr>
        <w:t xml:space="preserve">était </w:t>
      </w:r>
      <w:r>
        <w:rPr>
          <w:lang w:val="fr-FR"/>
        </w:rPr>
        <w:t>aucunement contradictoire.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55</w:t>
      </w:r>
      <w:r>
        <w:rPr>
          <w:lang w:val="fr-FR"/>
        </w:rPr>
        <w:fldChar w:fldCharType="end"/>
      </w:r>
      <w:r w:rsidR="00E8216B">
        <w:rPr>
          <w:lang w:val="fr-FR"/>
        </w:rPr>
        <w:t>.  Cette</w:t>
      </w:r>
      <w:r>
        <w:rPr>
          <w:lang w:val="fr-FR"/>
        </w:rPr>
        <w:t xml:space="preserve"> jurisprudence doit être partant considérée comme étant linéaire, aucun changement drastique ne pouvant être décelé dans l</w:t>
      </w:r>
      <w:r w:rsidR="00A14196">
        <w:rPr>
          <w:lang w:val="fr-FR"/>
        </w:rPr>
        <w:t>’</w:t>
      </w:r>
      <w:r>
        <w:rPr>
          <w:lang w:val="fr-FR"/>
        </w:rPr>
        <w:t xml:space="preserve">approche des différentes décisions adoptées par la Cour de cassation. La jurisprudence a </w:t>
      </w:r>
      <w:r w:rsidR="00600DF8">
        <w:rPr>
          <w:lang w:val="fr-FR"/>
        </w:rPr>
        <w:t>en effet</w:t>
      </w:r>
      <w:r>
        <w:rPr>
          <w:lang w:val="fr-FR"/>
        </w:rPr>
        <w:t xml:space="preserve"> suivi un parcours progressif de consolidation d</w:t>
      </w:r>
      <w:r w:rsidR="00A14196">
        <w:rPr>
          <w:lang w:val="fr-FR"/>
        </w:rPr>
        <w:t>’</w:t>
      </w:r>
      <w:r>
        <w:rPr>
          <w:lang w:val="fr-FR"/>
        </w:rPr>
        <w:t xml:space="preserve">une </w:t>
      </w:r>
      <w:r w:rsidR="00217548">
        <w:rPr>
          <w:lang w:val="fr-FR"/>
        </w:rPr>
        <w:t>approche</w:t>
      </w:r>
      <w:r>
        <w:rPr>
          <w:lang w:val="fr-FR"/>
        </w:rPr>
        <w:t xml:space="preserve"> positive eu égard à l</w:t>
      </w:r>
      <w:r w:rsidR="00A14196">
        <w:rPr>
          <w:lang w:val="fr-FR"/>
        </w:rPr>
        <w:t>’</w:t>
      </w:r>
      <w:r>
        <w:rPr>
          <w:lang w:val="fr-FR"/>
        </w:rPr>
        <w:t>existence de l</w:t>
      </w:r>
      <w:r w:rsidR="00A14196">
        <w:rPr>
          <w:lang w:val="fr-FR"/>
        </w:rPr>
        <w:t>’</w:t>
      </w:r>
      <w:r>
        <w:rPr>
          <w:lang w:val="fr-FR"/>
        </w:rPr>
        <w:t>infraction</w:t>
      </w:r>
      <w:r w:rsidR="00E8216B">
        <w:rPr>
          <w:lang w:val="fr-FR"/>
        </w:rPr>
        <w:t xml:space="preserve"> </w:t>
      </w:r>
      <w:r>
        <w:rPr>
          <w:lang w:val="fr-FR"/>
        </w:rPr>
        <w:t>caractérisé</w:t>
      </w:r>
      <w:r w:rsidR="0086154B">
        <w:rPr>
          <w:lang w:val="fr-FR"/>
        </w:rPr>
        <w:t>e</w:t>
      </w:r>
      <w:r w:rsidR="00E8216B">
        <w:rPr>
          <w:lang w:val="fr-FR"/>
        </w:rPr>
        <w:t xml:space="preserve">, certes, </w:t>
      </w:r>
      <w:r>
        <w:rPr>
          <w:lang w:val="fr-FR"/>
        </w:rPr>
        <w:t>par une analyse dialectique d</w:t>
      </w:r>
      <w:r w:rsidR="00A14196">
        <w:rPr>
          <w:lang w:val="fr-FR"/>
        </w:rPr>
        <w:t>’</w:t>
      </w:r>
      <w:r>
        <w:rPr>
          <w:lang w:val="fr-FR"/>
        </w:rPr>
        <w:t>arguments opposés</w:t>
      </w:r>
      <w:r w:rsidR="00D20FF5">
        <w:rPr>
          <w:lang w:val="fr-FR"/>
        </w:rPr>
        <w:t>,</w:t>
      </w:r>
      <w:r>
        <w:rPr>
          <w:lang w:val="fr-FR"/>
        </w:rPr>
        <w:t xml:space="preserve"> </w:t>
      </w:r>
      <w:r w:rsidR="00D20FF5">
        <w:rPr>
          <w:lang w:val="fr-FR"/>
        </w:rPr>
        <w:t xml:space="preserve">ayant finalement </w:t>
      </w:r>
      <w:r>
        <w:rPr>
          <w:lang w:val="fr-FR"/>
        </w:rPr>
        <w:t>dépass</w:t>
      </w:r>
      <w:r w:rsidR="00D20FF5">
        <w:rPr>
          <w:lang w:val="fr-FR"/>
        </w:rPr>
        <w:t>é</w:t>
      </w:r>
      <w:r>
        <w:rPr>
          <w:lang w:val="fr-FR"/>
        </w:rPr>
        <w:t xml:space="preserve"> </w:t>
      </w:r>
      <w:r w:rsidR="00D20FF5">
        <w:rPr>
          <w:lang w:val="fr-FR"/>
        </w:rPr>
        <w:t>l</w:t>
      </w:r>
      <w:r>
        <w:rPr>
          <w:lang w:val="fr-FR"/>
        </w:rPr>
        <w:t>es positions minoritaires.</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56</w:t>
      </w:r>
      <w:r>
        <w:rPr>
          <w:lang w:val="fr-FR"/>
        </w:rPr>
        <w:fldChar w:fldCharType="end"/>
      </w:r>
      <w:r>
        <w:rPr>
          <w:lang w:val="fr-FR"/>
        </w:rPr>
        <w:t>.  Enfin, le Gouvernement fait valoir que, compte tenu des compétences professionnelles du requérant, de sa personnalité et de son parcours</w:t>
      </w:r>
      <w:r w:rsidR="00196827">
        <w:rPr>
          <w:lang w:val="fr-FR"/>
        </w:rPr>
        <w:t>,</w:t>
      </w:r>
      <w:r>
        <w:rPr>
          <w:lang w:val="fr-FR"/>
        </w:rPr>
        <w:t xml:space="preserve"> on ne saurait affirmer que la loi et la jurisprudence en la matière n</w:t>
      </w:r>
      <w:r w:rsidR="00A14196">
        <w:rPr>
          <w:lang w:val="fr-FR"/>
        </w:rPr>
        <w:t>’</w:t>
      </w:r>
      <w:r>
        <w:rPr>
          <w:lang w:val="fr-FR"/>
        </w:rPr>
        <w:t>étaient pas prévisibles</w:t>
      </w:r>
      <w:r w:rsidR="00DD4CF1" w:rsidRPr="00DD4CF1">
        <w:rPr>
          <w:lang w:val="fr-FR"/>
        </w:rPr>
        <w:t xml:space="preserve"> </w:t>
      </w:r>
      <w:r w:rsidR="00DD4CF1">
        <w:rPr>
          <w:lang w:val="fr-FR"/>
        </w:rPr>
        <w:t>pour celui-ci</w:t>
      </w:r>
      <w:r>
        <w:rPr>
          <w:lang w:val="fr-FR"/>
        </w:rPr>
        <w:t>.</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57</w:t>
      </w:r>
      <w:r>
        <w:rPr>
          <w:lang w:val="fr-FR"/>
        </w:rPr>
        <w:fldChar w:fldCharType="end"/>
      </w:r>
      <w:r>
        <w:rPr>
          <w:lang w:val="fr-FR"/>
        </w:rPr>
        <w:t>.  Le requérant souligne d</w:t>
      </w:r>
      <w:r w:rsidR="00A14196">
        <w:rPr>
          <w:lang w:val="fr-FR"/>
        </w:rPr>
        <w:t>’</w:t>
      </w:r>
      <w:r>
        <w:rPr>
          <w:lang w:val="fr-FR"/>
        </w:rPr>
        <w:t>abord que, tel que le Gouvernement l</w:t>
      </w:r>
      <w:r w:rsidR="00A14196">
        <w:rPr>
          <w:lang w:val="fr-FR"/>
        </w:rPr>
        <w:t>’</w:t>
      </w:r>
      <w:r>
        <w:rPr>
          <w:lang w:val="fr-FR"/>
        </w:rPr>
        <w:t>admet da</w:t>
      </w:r>
      <w:r w:rsidR="00E25E42">
        <w:rPr>
          <w:lang w:val="fr-FR"/>
        </w:rPr>
        <w:t xml:space="preserve">ns ses observations, le </w:t>
      </w:r>
      <w:r>
        <w:rPr>
          <w:lang w:val="fr-FR"/>
        </w:rPr>
        <w:t>concours ext</w:t>
      </w:r>
      <w:r w:rsidR="00E25E42">
        <w:rPr>
          <w:lang w:val="fr-FR"/>
        </w:rPr>
        <w:t xml:space="preserve">erne en association </w:t>
      </w:r>
      <w:r w:rsidR="00C46A48">
        <w:rPr>
          <w:lang w:val="fr-FR"/>
        </w:rPr>
        <w:t xml:space="preserve">de type mafieux </w:t>
      </w:r>
      <w:r>
        <w:rPr>
          <w:lang w:val="fr-FR"/>
        </w:rPr>
        <w:t xml:space="preserve">est une création de la jurisprudence </w:t>
      </w:r>
      <w:r w:rsidR="0086154B">
        <w:rPr>
          <w:lang w:val="fr-FR"/>
        </w:rPr>
        <w:t>amorcée dans</w:t>
      </w:r>
      <w:r>
        <w:rPr>
          <w:lang w:val="fr-FR"/>
        </w:rPr>
        <w:t xml:space="preserve"> des décisions datant de la fin des années quatre-vingt, c</w:t>
      </w:r>
      <w:r w:rsidR="00A14196">
        <w:rPr>
          <w:lang w:val="fr-FR"/>
        </w:rPr>
        <w:t>’</w:t>
      </w:r>
      <w:r>
        <w:rPr>
          <w:lang w:val="fr-FR"/>
        </w:rPr>
        <w:t>est-à-dire, après les faits pour lesquels le requérant a été condamné</w:t>
      </w:r>
      <w:r w:rsidR="008B3072">
        <w:rPr>
          <w:lang w:val="fr-FR"/>
        </w:rPr>
        <w:t>, et s</w:t>
      </w:r>
      <w:r w:rsidR="00A14196">
        <w:rPr>
          <w:lang w:val="fr-FR"/>
        </w:rPr>
        <w:t>’</w:t>
      </w:r>
      <w:r w:rsidR="008B3072">
        <w:rPr>
          <w:lang w:val="fr-FR"/>
        </w:rPr>
        <w:t>étant consolidée avec l</w:t>
      </w:r>
      <w:r w:rsidR="00A14196">
        <w:rPr>
          <w:lang w:val="fr-FR"/>
        </w:rPr>
        <w:t>’</w:t>
      </w:r>
      <w:r w:rsidR="008B3072">
        <w:rPr>
          <w:lang w:val="fr-FR"/>
        </w:rPr>
        <w:t xml:space="preserve">arrêt de la Cour de cassation </w:t>
      </w:r>
      <w:r w:rsidR="00E0638E">
        <w:rPr>
          <w:i/>
          <w:lang w:val="fr-FR"/>
        </w:rPr>
        <w:t>D</w:t>
      </w:r>
      <w:r w:rsidR="00A45645">
        <w:rPr>
          <w:i/>
          <w:lang w:val="fr-FR"/>
        </w:rPr>
        <w:t>e</w:t>
      </w:r>
      <w:r w:rsidR="008B3072" w:rsidRPr="008B3072">
        <w:rPr>
          <w:i/>
          <w:lang w:val="fr-FR"/>
        </w:rPr>
        <w:t>mitry</w:t>
      </w:r>
      <w:r>
        <w:rPr>
          <w:lang w:val="fr-FR"/>
        </w:rPr>
        <w:t xml:space="preserve">. </w:t>
      </w:r>
      <w:r w:rsidR="007D5D8F">
        <w:rPr>
          <w:lang w:val="fr-FR"/>
        </w:rPr>
        <w:t>Le requérant souligne aussi que</w:t>
      </w:r>
      <w:r>
        <w:rPr>
          <w:lang w:val="fr-FR"/>
        </w:rPr>
        <w:t xml:space="preserve"> les </w:t>
      </w:r>
      <w:r w:rsidR="009D0819">
        <w:rPr>
          <w:lang w:val="fr-FR"/>
        </w:rPr>
        <w:t>arrêts</w:t>
      </w:r>
      <w:r w:rsidR="006E4C23">
        <w:rPr>
          <w:lang w:val="fr-FR"/>
        </w:rPr>
        <w:t xml:space="preserve"> auxquel</w:t>
      </w:r>
      <w:r>
        <w:rPr>
          <w:lang w:val="fr-FR"/>
        </w:rPr>
        <w:t xml:space="preserve">s le </w:t>
      </w:r>
      <w:r>
        <w:rPr>
          <w:lang w:val="fr-FR"/>
        </w:rPr>
        <w:lastRenderedPageBreak/>
        <w:t xml:space="preserve">Gouvernement fait référence </w:t>
      </w:r>
      <w:r w:rsidR="00200F79">
        <w:rPr>
          <w:lang w:val="fr-FR"/>
        </w:rPr>
        <w:t>datant de la fin des années soixante du siècle dernier</w:t>
      </w:r>
      <w:r w:rsidR="007773AB">
        <w:rPr>
          <w:lang w:val="fr-FR"/>
        </w:rPr>
        <w:t xml:space="preserve"> </w:t>
      </w:r>
      <w:r>
        <w:rPr>
          <w:lang w:val="fr-FR"/>
        </w:rPr>
        <w:t xml:space="preserve">ne concernent que le concours dans des associations terroristes </w:t>
      </w:r>
      <w:r w:rsidR="00BB1CF5">
        <w:rPr>
          <w:lang w:val="fr-FR"/>
        </w:rPr>
        <w:t xml:space="preserve">et ne sont </w:t>
      </w:r>
      <w:r w:rsidR="005D3F4E">
        <w:rPr>
          <w:lang w:val="fr-FR"/>
        </w:rPr>
        <w:t>donc pas pertinente</w:t>
      </w:r>
      <w:r w:rsidR="00BB1CF5">
        <w:rPr>
          <w:lang w:val="fr-FR"/>
        </w:rPr>
        <w:t>s</w:t>
      </w:r>
      <w:r w:rsidR="005D3F4E">
        <w:rPr>
          <w:lang w:val="fr-FR"/>
        </w:rPr>
        <w:t xml:space="preserve"> en l</w:t>
      </w:r>
      <w:r w:rsidR="00A14196">
        <w:rPr>
          <w:lang w:val="fr-FR"/>
        </w:rPr>
        <w:t>’</w:t>
      </w:r>
      <w:r w:rsidR="005D3F4E">
        <w:rPr>
          <w:lang w:val="fr-FR"/>
        </w:rPr>
        <w:t>espèce</w:t>
      </w:r>
      <w:r>
        <w:rPr>
          <w:lang w:val="fr-FR"/>
        </w:rPr>
        <w:t>.</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58</w:t>
      </w:r>
      <w:r>
        <w:rPr>
          <w:lang w:val="fr-FR"/>
        </w:rPr>
        <w:fldChar w:fldCharType="end"/>
      </w:r>
      <w:r>
        <w:rPr>
          <w:lang w:val="fr-FR"/>
        </w:rPr>
        <w:t xml:space="preserve">.  Selon le </w:t>
      </w:r>
      <w:r w:rsidR="008B3072">
        <w:rPr>
          <w:lang w:val="fr-FR"/>
        </w:rPr>
        <w:t>requérant, le Gouvernement omet</w:t>
      </w:r>
      <w:r w:rsidR="007773AB">
        <w:rPr>
          <w:lang w:val="fr-FR"/>
        </w:rPr>
        <w:t xml:space="preserve"> </w:t>
      </w:r>
      <w:r>
        <w:rPr>
          <w:lang w:val="fr-FR"/>
        </w:rPr>
        <w:t>d</w:t>
      </w:r>
      <w:r w:rsidR="00A14196">
        <w:rPr>
          <w:lang w:val="fr-FR"/>
        </w:rPr>
        <w:t>’</w:t>
      </w:r>
      <w:r>
        <w:rPr>
          <w:lang w:val="fr-FR"/>
        </w:rPr>
        <w:t>expliquer la raison pour laquelle, si l</w:t>
      </w:r>
      <w:r w:rsidR="00240287">
        <w:rPr>
          <w:lang w:val="fr-FR"/>
        </w:rPr>
        <w:t xml:space="preserve">a jurisprudence en matière de </w:t>
      </w:r>
      <w:r>
        <w:rPr>
          <w:lang w:val="fr-FR"/>
        </w:rPr>
        <w:t xml:space="preserve">concours externe en association </w:t>
      </w:r>
      <w:r w:rsidR="00C46A48">
        <w:rPr>
          <w:lang w:val="fr-FR"/>
        </w:rPr>
        <w:t xml:space="preserve">de type mafieux </w:t>
      </w:r>
      <w:r>
        <w:rPr>
          <w:lang w:val="fr-FR"/>
        </w:rPr>
        <w:t xml:space="preserve">était aussi </w:t>
      </w:r>
      <w:r w:rsidR="00240287">
        <w:rPr>
          <w:lang w:val="fr-FR"/>
        </w:rPr>
        <w:t xml:space="preserve">linéaire, </w:t>
      </w:r>
      <w:r w:rsidR="00F06C8C">
        <w:rPr>
          <w:lang w:val="fr-FR"/>
        </w:rPr>
        <w:t>quatre</w:t>
      </w:r>
      <w:r w:rsidR="00240287">
        <w:rPr>
          <w:lang w:val="fr-FR"/>
        </w:rPr>
        <w:t xml:space="preserve"> </w:t>
      </w:r>
      <w:r w:rsidR="00290F8F">
        <w:rPr>
          <w:lang w:val="fr-FR"/>
        </w:rPr>
        <w:t>arrêts</w:t>
      </w:r>
      <w:r w:rsidR="00240287">
        <w:rPr>
          <w:lang w:val="fr-FR"/>
        </w:rPr>
        <w:t xml:space="preserve"> des Sections U</w:t>
      </w:r>
      <w:r>
        <w:rPr>
          <w:lang w:val="fr-FR"/>
        </w:rPr>
        <w:t xml:space="preserve">nies de la Cour de cassation ont été nécessaires </w:t>
      </w:r>
      <w:r w:rsidR="00240287">
        <w:rPr>
          <w:lang w:val="fr-FR"/>
        </w:rPr>
        <w:t>afin de</w:t>
      </w:r>
      <w:r>
        <w:rPr>
          <w:lang w:val="fr-FR"/>
        </w:rPr>
        <w:t xml:space="preserve"> clarifier l</w:t>
      </w:r>
      <w:r w:rsidR="00A14196">
        <w:rPr>
          <w:lang w:val="fr-FR"/>
        </w:rPr>
        <w:t>’</w:t>
      </w:r>
      <w:r>
        <w:rPr>
          <w:lang w:val="fr-FR"/>
        </w:rPr>
        <w:t>existence d</w:t>
      </w:r>
      <w:r w:rsidR="00A14196">
        <w:rPr>
          <w:lang w:val="fr-FR"/>
        </w:rPr>
        <w:t>’</w:t>
      </w:r>
      <w:r>
        <w:rPr>
          <w:lang w:val="fr-FR"/>
        </w:rPr>
        <w:t xml:space="preserve">une telle infraction. Le requérant fait valoir que le </w:t>
      </w:r>
      <w:r w:rsidR="008C75F9">
        <w:rPr>
          <w:lang w:val="fr-FR"/>
        </w:rPr>
        <w:t>fait</w:t>
      </w:r>
      <w:r>
        <w:rPr>
          <w:lang w:val="fr-FR"/>
        </w:rPr>
        <w:t xml:space="preserve"> que la jurisprudence en l</w:t>
      </w:r>
      <w:r w:rsidR="008C2D69">
        <w:rPr>
          <w:lang w:val="fr-FR"/>
        </w:rPr>
        <w:t>a matière est restée controversée</w:t>
      </w:r>
      <w:r>
        <w:rPr>
          <w:lang w:val="fr-FR"/>
        </w:rPr>
        <w:t xml:space="preserve"> jusqu</w:t>
      </w:r>
      <w:r w:rsidR="00A14196">
        <w:rPr>
          <w:lang w:val="fr-FR"/>
        </w:rPr>
        <w:t>’</w:t>
      </w:r>
      <w:r>
        <w:rPr>
          <w:lang w:val="fr-FR"/>
        </w:rPr>
        <w:t>aux année</w:t>
      </w:r>
      <w:r w:rsidR="00D91A31">
        <w:rPr>
          <w:lang w:val="fr-FR"/>
        </w:rPr>
        <w:t>s quatre-vingt-dix ressort aussi</w:t>
      </w:r>
      <w:r>
        <w:rPr>
          <w:lang w:val="fr-FR"/>
        </w:rPr>
        <w:t xml:space="preserve"> du jugement du tribunal de Palerme </w:t>
      </w:r>
      <w:r w:rsidR="00A0793D">
        <w:rPr>
          <w:lang w:val="fr-FR"/>
        </w:rPr>
        <w:t>du 5 avril 1996</w:t>
      </w:r>
      <w:r>
        <w:rPr>
          <w:lang w:val="fr-FR"/>
        </w:rPr>
        <w:t>.</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59</w:t>
      </w:r>
      <w:r>
        <w:rPr>
          <w:lang w:val="fr-FR"/>
        </w:rPr>
        <w:fldChar w:fldCharType="end"/>
      </w:r>
      <w:r>
        <w:rPr>
          <w:lang w:val="fr-FR"/>
        </w:rPr>
        <w:t>.  L</w:t>
      </w:r>
      <w:r w:rsidR="00A14196">
        <w:rPr>
          <w:lang w:val="fr-FR"/>
        </w:rPr>
        <w:t>’</w:t>
      </w:r>
      <w:r>
        <w:rPr>
          <w:lang w:val="fr-FR"/>
        </w:rPr>
        <w:t>évolution jurisprudentielle en cette matière, postérieure aux faits reproc</w:t>
      </w:r>
      <w:r w:rsidR="005F4552">
        <w:rPr>
          <w:lang w:val="fr-FR"/>
        </w:rPr>
        <w:t>hés au requérant, démontre qu</w:t>
      </w:r>
      <w:r w:rsidR="00A14196">
        <w:rPr>
          <w:lang w:val="fr-FR"/>
        </w:rPr>
        <w:t>’</w:t>
      </w:r>
      <w:r>
        <w:rPr>
          <w:lang w:val="fr-FR"/>
        </w:rPr>
        <w:t>à l</w:t>
      </w:r>
      <w:r w:rsidR="00A14196">
        <w:rPr>
          <w:lang w:val="fr-FR"/>
        </w:rPr>
        <w:t>’</w:t>
      </w:r>
      <w:r>
        <w:rPr>
          <w:lang w:val="fr-FR"/>
        </w:rPr>
        <w:t xml:space="preserve">époque </w:t>
      </w:r>
      <w:r w:rsidR="005F4552">
        <w:rPr>
          <w:lang w:val="fr-FR"/>
        </w:rPr>
        <w:t>où ceux-ci se seraient produits</w:t>
      </w:r>
      <w:r w:rsidR="00824184">
        <w:rPr>
          <w:lang w:val="fr-FR"/>
        </w:rPr>
        <w:t>,</w:t>
      </w:r>
      <w:r>
        <w:rPr>
          <w:lang w:val="fr-FR"/>
        </w:rPr>
        <w:t xml:space="preserve"> le requérant ne pouvait raisonnablement prévoir les cons</w:t>
      </w:r>
      <w:r w:rsidR="00824184">
        <w:rPr>
          <w:lang w:val="fr-FR"/>
        </w:rPr>
        <w:t>équences, en termes de sanction</w:t>
      </w:r>
      <w:r>
        <w:rPr>
          <w:lang w:val="fr-FR"/>
        </w:rPr>
        <w:t>, de ses prétendues actions, l</w:t>
      </w:r>
      <w:r w:rsidR="00A14196">
        <w:rPr>
          <w:lang w:val="fr-FR"/>
        </w:rPr>
        <w:t>’</w:t>
      </w:r>
      <w:r>
        <w:rPr>
          <w:lang w:val="fr-FR"/>
        </w:rPr>
        <w:t>existence de l</w:t>
      </w:r>
      <w:r w:rsidR="00A14196">
        <w:rPr>
          <w:lang w:val="fr-FR"/>
        </w:rPr>
        <w:t>’</w:t>
      </w:r>
      <w:r>
        <w:rPr>
          <w:lang w:val="fr-FR"/>
        </w:rPr>
        <w:t xml:space="preserve">infraction de concours externe en association </w:t>
      </w:r>
      <w:r w:rsidR="00687CC7">
        <w:rPr>
          <w:lang w:val="fr-FR"/>
        </w:rPr>
        <w:t xml:space="preserve">de type mafieux </w:t>
      </w:r>
      <w:r>
        <w:rPr>
          <w:lang w:val="fr-FR"/>
        </w:rPr>
        <w:t>étant à l</w:t>
      </w:r>
      <w:r w:rsidR="00A14196">
        <w:rPr>
          <w:lang w:val="fr-FR"/>
        </w:rPr>
        <w:t>’</w:t>
      </w:r>
      <w:r>
        <w:rPr>
          <w:lang w:val="fr-FR"/>
        </w:rPr>
        <w:t>époque des faits</w:t>
      </w:r>
      <w:r w:rsidR="00824184">
        <w:rPr>
          <w:lang w:val="fr-FR"/>
        </w:rPr>
        <w:t>,</w:t>
      </w:r>
      <w:r>
        <w:rPr>
          <w:lang w:val="fr-FR"/>
        </w:rPr>
        <w:t xml:space="preserve"> </w:t>
      </w:r>
      <w:r w:rsidR="00DF4327">
        <w:rPr>
          <w:lang w:val="fr-FR"/>
        </w:rPr>
        <w:t>objet d</w:t>
      </w:r>
      <w:r w:rsidR="00A14196">
        <w:rPr>
          <w:lang w:val="fr-FR"/>
        </w:rPr>
        <w:t>’</w:t>
      </w:r>
      <w:r w:rsidR="00DF4327">
        <w:rPr>
          <w:lang w:val="fr-FR"/>
        </w:rPr>
        <w:t>interprétations jurisprudentielles divergentes</w:t>
      </w:r>
      <w:r>
        <w:rPr>
          <w:lang w:val="fr-FR"/>
        </w:rPr>
        <w:t>.</w:t>
      </w:r>
    </w:p>
    <w:p w:rsidR="004057F4" w:rsidRDefault="00885A07" w:rsidP="00885A07">
      <w:pPr>
        <w:pStyle w:val="ECHRHeading3"/>
        <w:rPr>
          <w:lang w:val="fr-FR"/>
        </w:rPr>
      </w:pPr>
      <w:r>
        <w:rPr>
          <w:lang w:val="fr-FR"/>
        </w:rPr>
        <w:t>2.  </w:t>
      </w:r>
      <w:r w:rsidR="004057F4">
        <w:rPr>
          <w:lang w:val="fr-FR"/>
        </w:rPr>
        <w:t>L</w:t>
      </w:r>
      <w:r w:rsidR="00A14196">
        <w:rPr>
          <w:lang w:val="fr-FR"/>
        </w:rPr>
        <w:t>’</w:t>
      </w:r>
      <w:r w:rsidR="004057F4">
        <w:rPr>
          <w:lang w:val="fr-FR"/>
        </w:rPr>
        <w:t>appréciation de la Cour</w:t>
      </w:r>
    </w:p>
    <w:p w:rsidR="00071CB3" w:rsidRDefault="00885A07" w:rsidP="00885A07">
      <w:pPr>
        <w:pStyle w:val="ECHRHeading4"/>
        <w:rPr>
          <w:lang w:val="fr-FR"/>
        </w:rPr>
      </w:pPr>
      <w:r>
        <w:rPr>
          <w:lang w:val="fr-FR"/>
        </w:rPr>
        <w:t>a)</w:t>
      </w:r>
      <w:r w:rsidR="00D04FE5">
        <w:rPr>
          <w:lang w:val="fr-FR"/>
        </w:rPr>
        <w:t>  </w:t>
      </w:r>
      <w:r w:rsidR="00071CB3">
        <w:rPr>
          <w:lang w:val="fr-FR"/>
        </w:rPr>
        <w:t>Les principes se dégageant de la jurisprudence de la Cour</w:t>
      </w:r>
    </w:p>
    <w:p w:rsidR="00672CEB" w:rsidRPr="00F14B2A" w:rsidRDefault="00F66B50" w:rsidP="00F14B2A">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60</w:t>
      </w:r>
      <w:r>
        <w:rPr>
          <w:lang w:val="fr-FR"/>
        </w:rPr>
        <w:fldChar w:fldCharType="end"/>
      </w:r>
      <w:r>
        <w:rPr>
          <w:lang w:val="fr-FR"/>
        </w:rPr>
        <w:t xml:space="preserve">.  La Cour rappelle que les principes généraux en matière du principe </w:t>
      </w:r>
      <w:r w:rsidRPr="00E07B06">
        <w:rPr>
          <w:i/>
          <w:lang w:val="fr-FR"/>
        </w:rPr>
        <w:t>nulla poena sine lege</w:t>
      </w:r>
      <w:r>
        <w:rPr>
          <w:lang w:val="fr-FR"/>
        </w:rPr>
        <w:t>, se dégageant de l</w:t>
      </w:r>
      <w:r w:rsidR="00A14196">
        <w:rPr>
          <w:lang w:val="fr-FR"/>
        </w:rPr>
        <w:t>’</w:t>
      </w:r>
      <w:r>
        <w:rPr>
          <w:lang w:val="fr-FR"/>
        </w:rPr>
        <w:t xml:space="preserve">article 7 de la Convention, </w:t>
      </w:r>
      <w:r w:rsidR="005C2BEF">
        <w:rPr>
          <w:lang w:val="fr-FR"/>
        </w:rPr>
        <w:t xml:space="preserve">sont </w:t>
      </w:r>
      <w:r>
        <w:rPr>
          <w:lang w:val="fr-FR"/>
        </w:rPr>
        <w:t>résumés dans l</w:t>
      </w:r>
      <w:r w:rsidR="00A14196">
        <w:rPr>
          <w:lang w:val="fr-FR"/>
        </w:rPr>
        <w:t>’</w:t>
      </w:r>
      <w:r>
        <w:rPr>
          <w:lang w:val="fr-FR"/>
        </w:rPr>
        <w:t xml:space="preserve">arrêt </w:t>
      </w:r>
      <w:r w:rsidRPr="00813B54">
        <w:rPr>
          <w:i/>
          <w:lang w:val="fr-FR"/>
        </w:rPr>
        <w:t>Del Rio Prada</w:t>
      </w:r>
      <w:r w:rsidRPr="00813B54">
        <w:rPr>
          <w:lang w:val="fr-FR"/>
        </w:rPr>
        <w:t xml:space="preserve"> </w:t>
      </w:r>
      <w:r w:rsidRPr="00813B54">
        <w:rPr>
          <w:i/>
          <w:lang w:val="fr-FR"/>
        </w:rPr>
        <w:t xml:space="preserve">c. Espagne </w:t>
      </w:r>
      <w:r>
        <w:rPr>
          <w:lang w:val="fr-FR"/>
        </w:rPr>
        <w:t>[GC] (</w:t>
      </w:r>
      <w:r w:rsidRPr="00813B54">
        <w:rPr>
          <w:lang w:val="fr-FR"/>
        </w:rPr>
        <w:t>n</w:t>
      </w:r>
      <w:r w:rsidRPr="00813B54">
        <w:rPr>
          <w:vertAlign w:val="superscript"/>
          <w:lang w:val="fr-FR"/>
        </w:rPr>
        <w:t>o</w:t>
      </w:r>
      <w:r>
        <w:rPr>
          <w:vertAlign w:val="superscript"/>
          <w:lang w:val="fr-FR"/>
        </w:rPr>
        <w:t> </w:t>
      </w:r>
      <w:r w:rsidRPr="00813B54">
        <w:rPr>
          <w:lang w:val="fr-FR"/>
        </w:rPr>
        <w:t>42750/09</w:t>
      </w:r>
      <w:r w:rsidRPr="00813B54">
        <w:rPr>
          <w:snapToGrid w:val="0"/>
          <w:lang w:val="fr-FR"/>
        </w:rPr>
        <w:t>, §</w:t>
      </w:r>
      <w:r>
        <w:rPr>
          <w:snapToGrid w:val="0"/>
          <w:lang w:val="fr-FR"/>
        </w:rPr>
        <w:t>§ 77-80</w:t>
      </w:r>
      <w:r w:rsidRPr="00813B54">
        <w:rPr>
          <w:snapToGrid w:val="0"/>
          <w:lang w:val="fr-FR"/>
        </w:rPr>
        <w:t xml:space="preserve">, </w:t>
      </w:r>
      <w:r w:rsidRPr="00813B54">
        <w:rPr>
          <w:lang w:val="fr-FR"/>
        </w:rPr>
        <w:t>CEDH 2013</w:t>
      </w:r>
      <w:r w:rsidR="009C170B">
        <w:rPr>
          <w:lang w:val="fr-FR"/>
        </w:rPr>
        <w:t xml:space="preserve">), dont les parties </w:t>
      </w:r>
      <w:r w:rsidR="00FF27BD">
        <w:rPr>
          <w:lang w:val="fr-FR"/>
        </w:rPr>
        <w:t>pertinentes</w:t>
      </w:r>
      <w:r w:rsidR="006E79B8">
        <w:rPr>
          <w:lang w:val="fr-FR"/>
        </w:rPr>
        <w:t xml:space="preserve"> sont rappelées ci-dessous. Ces principes sont </w:t>
      </w:r>
      <w:r w:rsidR="009C170B">
        <w:rPr>
          <w:lang w:val="fr-FR"/>
        </w:rPr>
        <w:t xml:space="preserve">repris </w:t>
      </w:r>
      <w:r w:rsidR="00DB6618">
        <w:rPr>
          <w:lang w:val="fr-FR"/>
        </w:rPr>
        <w:t xml:space="preserve">également </w:t>
      </w:r>
      <w:r w:rsidR="009C170B">
        <w:rPr>
          <w:lang w:val="fr-FR"/>
        </w:rPr>
        <w:t>dans l</w:t>
      </w:r>
      <w:r w:rsidR="00A14196">
        <w:rPr>
          <w:lang w:val="fr-FR"/>
        </w:rPr>
        <w:t>’</w:t>
      </w:r>
      <w:r w:rsidR="009C170B">
        <w:rPr>
          <w:lang w:val="fr-FR"/>
        </w:rPr>
        <w:t xml:space="preserve">arrêt </w:t>
      </w:r>
      <w:r w:rsidRPr="00285DE5">
        <w:rPr>
          <w:i/>
          <w:snapToGrid w:val="0"/>
          <w:lang w:val="fr-FR"/>
        </w:rPr>
        <w:t xml:space="preserve">Rohlena c. République tchèque </w:t>
      </w:r>
      <w:r>
        <w:rPr>
          <w:snapToGrid w:val="0"/>
          <w:lang w:val="fr-FR"/>
        </w:rPr>
        <w:t>[GC] (</w:t>
      </w:r>
      <w:r w:rsidRPr="00285DE5">
        <w:rPr>
          <w:snapToGrid w:val="0"/>
          <w:lang w:val="fr-FR"/>
        </w:rPr>
        <w:t>n</w:t>
      </w:r>
      <w:r w:rsidRPr="00285DE5">
        <w:rPr>
          <w:snapToGrid w:val="0"/>
          <w:vertAlign w:val="superscript"/>
          <w:lang w:val="fr-FR"/>
        </w:rPr>
        <w:t>o</w:t>
      </w:r>
      <w:r>
        <w:rPr>
          <w:snapToGrid w:val="0"/>
          <w:lang w:val="fr-FR"/>
        </w:rPr>
        <w:t xml:space="preserve"> 59552/08, § 50,</w:t>
      </w:r>
      <w:r w:rsidRPr="00285DE5">
        <w:rPr>
          <w:snapToGrid w:val="0"/>
          <w:lang w:val="fr-FR"/>
        </w:rPr>
        <w:t xml:space="preserve"> 27 janvier 2015</w:t>
      </w:r>
      <w:r w:rsidR="005938AB">
        <w:rPr>
          <w:snapToGrid w:val="0"/>
          <w:lang w:val="fr-FR"/>
        </w:rPr>
        <w:t>)</w:t>
      </w:r>
      <w:r>
        <w:rPr>
          <w:lang w:val="fr-FR"/>
        </w:rPr>
        <w:t> :</w:t>
      </w:r>
    </w:p>
    <w:p w:rsidR="00F66B50" w:rsidRPr="005C4027" w:rsidRDefault="00F66B50" w:rsidP="00672CEB">
      <w:pPr>
        <w:pStyle w:val="JuQuotSub"/>
        <w:rPr>
          <w:lang w:val="fr-FR"/>
        </w:rPr>
      </w:pPr>
      <w:r>
        <w:rPr>
          <w:lang w:val="fr-FR"/>
        </w:rPr>
        <w:t>« </w:t>
      </w:r>
      <w:r>
        <w:rPr>
          <w:rStyle w:val="s6b621b36"/>
          <w:lang w:val="fr-FR"/>
        </w:rPr>
        <w:t xml:space="preserve"> </w:t>
      </w:r>
      <w:r w:rsidRPr="00E07B06">
        <w:rPr>
          <w:rStyle w:val="sb8d990e2"/>
          <w:lang w:val="fr-FR"/>
        </w:rPr>
        <w:t>77. La garantie que consacre l</w:t>
      </w:r>
      <w:r w:rsidR="00A14196">
        <w:rPr>
          <w:rStyle w:val="sb8d990e2"/>
          <w:lang w:val="fr-FR"/>
        </w:rPr>
        <w:t>’</w:t>
      </w:r>
      <w:r w:rsidRPr="00E07B06">
        <w:rPr>
          <w:rStyle w:val="sb8d990e2"/>
          <w:lang w:val="fr-FR"/>
        </w:rPr>
        <w:t>article 7, élément essentiel de la prééminence du droit, occupe une place primordiale dans le système de protection de la Convention, comme l</w:t>
      </w:r>
      <w:r w:rsidR="00A14196">
        <w:rPr>
          <w:rStyle w:val="sb8d990e2"/>
          <w:lang w:val="fr-FR"/>
        </w:rPr>
        <w:t>’</w:t>
      </w:r>
      <w:r w:rsidRPr="00E07B06">
        <w:rPr>
          <w:rStyle w:val="sb8d990e2"/>
          <w:lang w:val="fr-FR"/>
        </w:rPr>
        <w:t>atteste le fait que l</w:t>
      </w:r>
      <w:r w:rsidR="00A14196">
        <w:rPr>
          <w:rStyle w:val="sb8d990e2"/>
          <w:lang w:val="fr-FR"/>
        </w:rPr>
        <w:t>’</w:t>
      </w:r>
      <w:r w:rsidRPr="00E07B06">
        <w:rPr>
          <w:rStyle w:val="sb8d990e2"/>
          <w:lang w:val="fr-FR"/>
        </w:rPr>
        <w:t>article 15 n</w:t>
      </w:r>
      <w:r w:rsidR="00A14196">
        <w:rPr>
          <w:rStyle w:val="sb8d990e2"/>
          <w:lang w:val="fr-FR"/>
        </w:rPr>
        <w:t>’</w:t>
      </w:r>
      <w:r w:rsidRPr="00E07B06">
        <w:rPr>
          <w:rStyle w:val="sb8d990e2"/>
          <w:lang w:val="fr-FR"/>
        </w:rPr>
        <w:t>y autorise aucune dérogation même en temps de guerre ou autre danger public menaçant la vie de la nation. Ainsi qu</w:t>
      </w:r>
      <w:r w:rsidR="00A14196">
        <w:rPr>
          <w:rStyle w:val="sb8d990e2"/>
          <w:lang w:val="fr-FR"/>
        </w:rPr>
        <w:t>’</w:t>
      </w:r>
      <w:r w:rsidRPr="00E07B06">
        <w:rPr>
          <w:rStyle w:val="sb8d990e2"/>
          <w:lang w:val="fr-FR"/>
        </w:rPr>
        <w:t>il découle de son objet et de son but, on doit l</w:t>
      </w:r>
      <w:r w:rsidR="00A14196">
        <w:rPr>
          <w:rStyle w:val="sb8d990e2"/>
          <w:lang w:val="fr-FR"/>
        </w:rPr>
        <w:t>’</w:t>
      </w:r>
      <w:r w:rsidRPr="00E07B06">
        <w:rPr>
          <w:rStyle w:val="sb8d990e2"/>
          <w:lang w:val="fr-FR"/>
        </w:rPr>
        <w:t>interpréter et l</w:t>
      </w:r>
      <w:r w:rsidR="00A14196">
        <w:rPr>
          <w:rStyle w:val="sb8d990e2"/>
          <w:lang w:val="fr-FR"/>
        </w:rPr>
        <w:t>’</w:t>
      </w:r>
      <w:r w:rsidRPr="00E07B06">
        <w:rPr>
          <w:rStyle w:val="sb8d990e2"/>
          <w:lang w:val="fr-FR"/>
        </w:rPr>
        <w:t>appliquer de manière à assurer une protection effective contre les poursuites, les condamnations et les sanctions arbitraires (</w:t>
      </w:r>
      <w:r w:rsidRPr="00044803">
        <w:rPr>
          <w:rStyle w:val="s6b621b36"/>
          <w:i/>
          <w:lang w:val="fr-FR"/>
        </w:rPr>
        <w:t>S.</w:t>
      </w:r>
      <w:r w:rsidRPr="00477B06">
        <w:rPr>
          <w:rStyle w:val="s6b621b36"/>
          <w:i/>
          <w:lang w:val="fr-FR"/>
        </w:rPr>
        <w:t xml:space="preserve">W. c. Royaume-Uni </w:t>
      </w:r>
      <w:r w:rsidRPr="00477B06">
        <w:rPr>
          <w:rStyle w:val="sb8d990e2"/>
          <w:i/>
          <w:lang w:val="fr-FR"/>
        </w:rPr>
        <w:t xml:space="preserve">et </w:t>
      </w:r>
      <w:r w:rsidRPr="00477B06">
        <w:rPr>
          <w:rStyle w:val="s6b621b36"/>
          <w:i/>
          <w:lang w:val="fr-FR"/>
        </w:rPr>
        <w:t>C.R. c. Royaume-Uni</w:t>
      </w:r>
      <w:r w:rsidRPr="00E07B06">
        <w:rPr>
          <w:rStyle w:val="sb8d990e2"/>
          <w:lang w:val="fr-FR"/>
        </w:rPr>
        <w:t>, 22 novembre 1995, respectivement § 34, série A n</w:t>
      </w:r>
      <w:r w:rsidRPr="00E07B06">
        <w:rPr>
          <w:rStyle w:val="sea881cdf"/>
          <w:lang w:val="fr-FR"/>
        </w:rPr>
        <w:t>o</w:t>
      </w:r>
      <w:r w:rsidRPr="00E07B06">
        <w:rPr>
          <w:rStyle w:val="sb8d990e2"/>
          <w:lang w:val="fr-FR"/>
        </w:rPr>
        <w:t xml:space="preserve"> 335-B, et § 32, série A n</w:t>
      </w:r>
      <w:r w:rsidRPr="00E07B06">
        <w:rPr>
          <w:rStyle w:val="sea881cdf"/>
          <w:lang w:val="fr-FR"/>
        </w:rPr>
        <w:t>o</w:t>
      </w:r>
      <w:r w:rsidRPr="00E07B06">
        <w:rPr>
          <w:rStyle w:val="sb8d990e2"/>
          <w:lang w:val="fr-FR"/>
        </w:rPr>
        <w:t xml:space="preserve"> 335-C, et </w:t>
      </w:r>
      <w:r w:rsidR="005C4027">
        <w:rPr>
          <w:rStyle w:val="sb8d990e2"/>
          <w:lang w:val="fr-FR"/>
        </w:rPr>
        <w:t>[</w:t>
      </w:r>
      <w:r w:rsidR="005C4027" w:rsidRPr="005C4027">
        <w:rPr>
          <w:i/>
          <w:szCs w:val="24"/>
          <w:lang w:val="fr-FR"/>
        </w:rPr>
        <w:t xml:space="preserve">Kafkaris c. Chypre </w:t>
      </w:r>
      <w:r w:rsidR="005C4027" w:rsidRPr="005C4027">
        <w:rPr>
          <w:szCs w:val="24"/>
          <w:lang w:val="fr-FR"/>
        </w:rPr>
        <w:t>[GC], n</w:t>
      </w:r>
      <w:r w:rsidR="005C4027" w:rsidRPr="005C4027">
        <w:rPr>
          <w:szCs w:val="24"/>
          <w:vertAlign w:val="superscript"/>
          <w:lang w:val="fr-FR"/>
        </w:rPr>
        <w:t>o</w:t>
      </w:r>
      <w:r w:rsidR="005C4027" w:rsidRPr="005C4027">
        <w:rPr>
          <w:szCs w:val="24"/>
          <w:lang w:val="fr-FR"/>
        </w:rPr>
        <w:t xml:space="preserve"> 21906/04</w:t>
      </w:r>
      <w:r w:rsidR="005C4027" w:rsidRPr="005C4027">
        <w:rPr>
          <w:lang w:val="fr-FR"/>
        </w:rPr>
        <w:t xml:space="preserve">, § </w:t>
      </w:r>
      <w:r w:rsidR="005C4027">
        <w:rPr>
          <w:lang w:val="fr-FR"/>
        </w:rPr>
        <w:t>137,</w:t>
      </w:r>
      <w:r w:rsidR="005C4027" w:rsidRPr="005C4027">
        <w:rPr>
          <w:lang w:val="fr-FR"/>
        </w:rPr>
        <w:t xml:space="preserve"> CEDH 2008</w:t>
      </w:r>
      <w:r w:rsidR="00044803">
        <w:rPr>
          <w:rStyle w:val="sb8d990e2"/>
          <w:lang w:val="fr-FR"/>
        </w:rPr>
        <w:t>]</w:t>
      </w:r>
      <w:r w:rsidRPr="00E07B06">
        <w:rPr>
          <w:rStyle w:val="sb8d990e2"/>
          <w:lang w:val="fr-FR"/>
        </w:rPr>
        <w:t>.</w:t>
      </w:r>
    </w:p>
    <w:p w:rsidR="00F66B50" w:rsidRPr="00E07B06" w:rsidRDefault="00F66B50" w:rsidP="00F66B50">
      <w:pPr>
        <w:pStyle w:val="JuQuotSub"/>
        <w:rPr>
          <w:lang w:val="fr-FR"/>
        </w:rPr>
      </w:pPr>
      <w:r w:rsidRPr="00E07B06">
        <w:rPr>
          <w:rStyle w:val="sb8d990e2"/>
          <w:lang w:val="fr-FR"/>
        </w:rPr>
        <w:t>78. L</w:t>
      </w:r>
      <w:r w:rsidR="00A14196">
        <w:rPr>
          <w:rStyle w:val="sb8d990e2"/>
          <w:lang w:val="fr-FR"/>
        </w:rPr>
        <w:t>’</w:t>
      </w:r>
      <w:r w:rsidRPr="00E07B06">
        <w:rPr>
          <w:rStyle w:val="sb8d990e2"/>
          <w:lang w:val="fr-FR"/>
        </w:rPr>
        <w:t>article 7 de la Convention ne se borne pas à prohiber l</w:t>
      </w:r>
      <w:r w:rsidR="00A14196">
        <w:rPr>
          <w:rStyle w:val="sb8d990e2"/>
          <w:lang w:val="fr-FR"/>
        </w:rPr>
        <w:t>’</w:t>
      </w:r>
      <w:r w:rsidRPr="00E07B06">
        <w:rPr>
          <w:rStyle w:val="sb8d990e2"/>
          <w:lang w:val="fr-FR"/>
        </w:rPr>
        <w:t>application rétroactive du droit pénal au désavantage de l</w:t>
      </w:r>
      <w:r w:rsidR="00A14196">
        <w:rPr>
          <w:rStyle w:val="sb8d990e2"/>
          <w:lang w:val="fr-FR"/>
        </w:rPr>
        <w:t>’</w:t>
      </w:r>
      <w:r w:rsidRPr="00E07B06">
        <w:rPr>
          <w:rStyle w:val="sb8d990e2"/>
          <w:lang w:val="fr-FR"/>
        </w:rPr>
        <w:t>accusé (voir, en ce qui concerne l</w:t>
      </w:r>
      <w:r w:rsidR="00A14196">
        <w:rPr>
          <w:rStyle w:val="sb8d990e2"/>
          <w:lang w:val="fr-FR"/>
        </w:rPr>
        <w:t>’</w:t>
      </w:r>
      <w:r w:rsidRPr="00E07B06">
        <w:rPr>
          <w:rStyle w:val="sb8d990e2"/>
          <w:lang w:val="fr-FR"/>
        </w:rPr>
        <w:t>application rétroactive d</w:t>
      </w:r>
      <w:r w:rsidR="00A14196">
        <w:rPr>
          <w:rStyle w:val="sb8d990e2"/>
          <w:lang w:val="fr-FR"/>
        </w:rPr>
        <w:t>’</w:t>
      </w:r>
      <w:r w:rsidRPr="00E07B06">
        <w:rPr>
          <w:rStyle w:val="sb8d990e2"/>
          <w:lang w:val="fr-FR"/>
        </w:rPr>
        <w:t xml:space="preserve">une peine, </w:t>
      </w:r>
      <w:r w:rsidRPr="00477B06">
        <w:rPr>
          <w:rStyle w:val="s6b621b36"/>
          <w:i/>
          <w:lang w:val="fr-FR"/>
        </w:rPr>
        <w:t>Welch c. Royaume-Uni</w:t>
      </w:r>
      <w:r w:rsidRPr="00E07B06">
        <w:rPr>
          <w:rStyle w:val="sb8d990e2"/>
          <w:lang w:val="fr-FR"/>
        </w:rPr>
        <w:t>, 9 février 1995, § 36, série A n</w:t>
      </w:r>
      <w:r w:rsidR="00E40263" w:rsidRPr="00E40263">
        <w:rPr>
          <w:rStyle w:val="sb8d990e2"/>
          <w:vertAlign w:val="superscript"/>
          <w:lang w:val="fr-FR"/>
        </w:rPr>
        <w:t>o</w:t>
      </w:r>
      <w:r w:rsidRPr="00E07B06">
        <w:rPr>
          <w:rStyle w:val="sb8d990e2"/>
          <w:lang w:val="fr-FR"/>
        </w:rPr>
        <w:t xml:space="preserve"> 307</w:t>
      </w:r>
      <w:r w:rsidRPr="00E07B06">
        <w:rPr>
          <w:rStyle w:val="sb8d990e2"/>
          <w:lang w:val="fr-FR"/>
        </w:rPr>
        <w:noBreakHyphen/>
        <w:t xml:space="preserve">A, </w:t>
      </w:r>
      <w:r w:rsidRPr="00477B06">
        <w:rPr>
          <w:rStyle w:val="s6b621b36"/>
          <w:i/>
          <w:lang w:val="fr-FR"/>
        </w:rPr>
        <w:t>Jamil c. France</w:t>
      </w:r>
      <w:r w:rsidRPr="00E07B06">
        <w:rPr>
          <w:rStyle w:val="sb8d990e2"/>
          <w:lang w:val="fr-FR"/>
        </w:rPr>
        <w:t>, 8 juin 1995, § 35, série A n</w:t>
      </w:r>
      <w:r w:rsidR="00E40263" w:rsidRPr="00E40263">
        <w:rPr>
          <w:rStyle w:val="sb8d990e2"/>
          <w:vertAlign w:val="superscript"/>
          <w:lang w:val="fr-FR"/>
        </w:rPr>
        <w:t>o</w:t>
      </w:r>
      <w:r w:rsidRPr="00E07B06">
        <w:rPr>
          <w:rStyle w:val="sb8d990e2"/>
          <w:lang w:val="fr-FR"/>
        </w:rPr>
        <w:t xml:space="preserve"> 317</w:t>
      </w:r>
      <w:r w:rsidRPr="00E07B06">
        <w:rPr>
          <w:rStyle w:val="sb8d990e2"/>
          <w:lang w:val="fr-FR"/>
        </w:rPr>
        <w:noBreakHyphen/>
        <w:t xml:space="preserve">B, </w:t>
      </w:r>
      <w:r w:rsidRPr="00477B06">
        <w:rPr>
          <w:rStyle w:val="s6b621b36"/>
          <w:i/>
          <w:lang w:val="fr-FR"/>
        </w:rPr>
        <w:t>Ecer et Zeyrek c. Turquie</w:t>
      </w:r>
      <w:r w:rsidRPr="00E07B06">
        <w:rPr>
          <w:rStyle w:val="sb8d990e2"/>
          <w:lang w:val="fr-FR"/>
        </w:rPr>
        <w:t>, n</w:t>
      </w:r>
      <w:r w:rsidRPr="003D5F68">
        <w:rPr>
          <w:rStyle w:val="sea881cdf"/>
          <w:vertAlign w:val="superscript"/>
          <w:lang w:val="fr-FR"/>
        </w:rPr>
        <w:t>os</w:t>
      </w:r>
      <w:r w:rsidRPr="00E07B06">
        <w:rPr>
          <w:rStyle w:val="sb8d990e2"/>
          <w:lang w:val="fr-FR"/>
        </w:rPr>
        <w:t xml:space="preserve"> </w:t>
      </w:r>
      <w:r w:rsidRPr="00117E94">
        <w:rPr>
          <w:lang w:val="fr-FR"/>
        </w:rPr>
        <w:t>29295/95</w:t>
      </w:r>
      <w:r w:rsidRPr="00E07B06">
        <w:rPr>
          <w:rStyle w:val="sb8d990e2"/>
          <w:lang w:val="fr-FR"/>
        </w:rPr>
        <w:t xml:space="preserve"> et </w:t>
      </w:r>
      <w:r w:rsidRPr="00117E94">
        <w:rPr>
          <w:lang w:val="fr-FR"/>
        </w:rPr>
        <w:t>29363/95</w:t>
      </w:r>
      <w:r w:rsidRPr="00E07B06">
        <w:rPr>
          <w:rStyle w:val="sb8d990e2"/>
          <w:lang w:val="fr-FR"/>
        </w:rPr>
        <w:t>, § 36, CEDH 2001</w:t>
      </w:r>
      <w:r w:rsidRPr="00E07B06">
        <w:rPr>
          <w:rStyle w:val="sb8d990e2"/>
          <w:lang w:val="fr-FR"/>
        </w:rPr>
        <w:noBreakHyphen/>
        <w:t xml:space="preserve">II, et </w:t>
      </w:r>
      <w:r w:rsidRPr="00477B06">
        <w:rPr>
          <w:rStyle w:val="s6b621b36"/>
          <w:i/>
          <w:lang w:val="fr-FR"/>
        </w:rPr>
        <w:t>Mihai Toma c.</w:t>
      </w:r>
      <w:r w:rsidR="003D5F68">
        <w:rPr>
          <w:rStyle w:val="s6b621b36"/>
          <w:i/>
          <w:lang w:val="fr-FR"/>
        </w:rPr>
        <w:t> </w:t>
      </w:r>
      <w:r w:rsidRPr="00477B06">
        <w:rPr>
          <w:rStyle w:val="s6b621b36"/>
          <w:i/>
          <w:lang w:val="fr-FR"/>
        </w:rPr>
        <w:t>Roumanie</w:t>
      </w:r>
      <w:r w:rsidRPr="00E07B06">
        <w:rPr>
          <w:rStyle w:val="sb8d990e2"/>
          <w:lang w:val="fr-FR"/>
        </w:rPr>
        <w:t>, n</w:t>
      </w:r>
      <w:r w:rsidRPr="007E7C24">
        <w:rPr>
          <w:rStyle w:val="sea881cdf"/>
          <w:vertAlign w:val="superscript"/>
          <w:lang w:val="fr-FR"/>
        </w:rPr>
        <w:t>o</w:t>
      </w:r>
      <w:r w:rsidRPr="00E07B06">
        <w:rPr>
          <w:rStyle w:val="sb8d990e2"/>
          <w:lang w:val="fr-FR"/>
        </w:rPr>
        <w:t xml:space="preserve"> </w:t>
      </w:r>
      <w:r w:rsidRPr="00117E94">
        <w:rPr>
          <w:lang w:val="fr-FR"/>
        </w:rPr>
        <w:t>1051/06</w:t>
      </w:r>
      <w:r w:rsidRPr="00E07B06">
        <w:rPr>
          <w:rStyle w:val="sb8d990e2"/>
          <w:lang w:val="fr-FR"/>
        </w:rPr>
        <w:t xml:space="preserve">, §§ 26-31, 24 janvier 2012). Il consacre aussi, de manière plus générale, le principe de la légalité des </w:t>
      </w:r>
      <w:r w:rsidRPr="00E07B06">
        <w:rPr>
          <w:rStyle w:val="wordhighlighted"/>
          <w:lang w:val="fr-FR"/>
        </w:rPr>
        <w:t>dél</w:t>
      </w:r>
      <w:r w:rsidRPr="00E07B06">
        <w:rPr>
          <w:rStyle w:val="sb8d990e2"/>
          <w:lang w:val="fr-FR"/>
        </w:rPr>
        <w:t xml:space="preserve">its et des peines –« </w:t>
      </w:r>
      <w:r w:rsidRPr="00477B06">
        <w:rPr>
          <w:rStyle w:val="s6b621b36"/>
          <w:i/>
          <w:lang w:val="fr-FR"/>
        </w:rPr>
        <w:t>nullum crimen, nulla poena sine lege</w:t>
      </w:r>
      <w:r w:rsidRPr="00E07B06">
        <w:rPr>
          <w:rStyle w:val="sb8d990e2"/>
          <w:lang w:val="fr-FR"/>
        </w:rPr>
        <w:t xml:space="preserve"> » – (</w:t>
      </w:r>
      <w:r w:rsidRPr="00477B06">
        <w:rPr>
          <w:rStyle w:val="s6b621b36"/>
          <w:i/>
          <w:lang w:val="fr-FR"/>
        </w:rPr>
        <w:t>Kokkinakis c. Grèce</w:t>
      </w:r>
      <w:r w:rsidRPr="00E07B06">
        <w:rPr>
          <w:rStyle w:val="sb8d990e2"/>
          <w:lang w:val="fr-FR"/>
        </w:rPr>
        <w:t>, 25 mai 1993, § 52, série A n</w:t>
      </w:r>
      <w:r w:rsidRPr="007E7C24">
        <w:rPr>
          <w:rStyle w:val="sea881cdf"/>
          <w:vertAlign w:val="superscript"/>
          <w:lang w:val="fr-FR"/>
        </w:rPr>
        <w:t>o</w:t>
      </w:r>
      <w:r w:rsidRPr="00E07B06">
        <w:rPr>
          <w:rStyle w:val="sb8d990e2"/>
          <w:lang w:val="fr-FR"/>
        </w:rPr>
        <w:t xml:space="preserve"> 260-A). S</w:t>
      </w:r>
      <w:r w:rsidR="00A14196">
        <w:rPr>
          <w:rStyle w:val="sb8d990e2"/>
          <w:lang w:val="fr-FR"/>
        </w:rPr>
        <w:t>’</w:t>
      </w:r>
      <w:r w:rsidRPr="00E07B06">
        <w:rPr>
          <w:rStyle w:val="sb8d990e2"/>
          <w:lang w:val="fr-FR"/>
        </w:rPr>
        <w:t>il interdit en particulier d</w:t>
      </w:r>
      <w:r w:rsidR="00A14196">
        <w:rPr>
          <w:rStyle w:val="sb8d990e2"/>
          <w:lang w:val="fr-FR"/>
        </w:rPr>
        <w:t>’</w:t>
      </w:r>
      <w:r w:rsidRPr="00E07B06">
        <w:rPr>
          <w:rStyle w:val="sb8d990e2"/>
          <w:lang w:val="fr-FR"/>
        </w:rPr>
        <w:t>étendre le champ d</w:t>
      </w:r>
      <w:r w:rsidR="00A14196">
        <w:rPr>
          <w:rStyle w:val="sb8d990e2"/>
          <w:lang w:val="fr-FR"/>
        </w:rPr>
        <w:t>’</w:t>
      </w:r>
      <w:r w:rsidRPr="00E07B06">
        <w:rPr>
          <w:rStyle w:val="sb8d990e2"/>
          <w:lang w:val="fr-FR"/>
        </w:rPr>
        <w:t>application des infractions existantes à des faits qui, antérieurement, ne constituaient pas des infractions, il commande en outre de ne pas appliquer la loi pénale de manière extensive au détriment de l</w:t>
      </w:r>
      <w:r w:rsidR="00A14196">
        <w:rPr>
          <w:rStyle w:val="sb8d990e2"/>
          <w:lang w:val="fr-FR"/>
        </w:rPr>
        <w:t>’</w:t>
      </w:r>
      <w:r w:rsidRPr="00E07B06">
        <w:rPr>
          <w:rStyle w:val="sb8d990e2"/>
          <w:lang w:val="fr-FR"/>
        </w:rPr>
        <w:t>accusé, par exemple par analogie (</w:t>
      </w:r>
      <w:r w:rsidRPr="00477B06">
        <w:rPr>
          <w:rStyle w:val="s6b621b36"/>
          <w:i/>
          <w:lang w:val="fr-FR"/>
        </w:rPr>
        <w:t>Coëme et autres c. Belgique</w:t>
      </w:r>
      <w:r w:rsidRPr="00E07B06">
        <w:rPr>
          <w:rStyle w:val="sb8d990e2"/>
          <w:lang w:val="fr-FR"/>
        </w:rPr>
        <w:t xml:space="preserve">, </w:t>
      </w:r>
      <w:r w:rsidRPr="00E07B06">
        <w:rPr>
          <w:rStyle w:val="sb8d990e2"/>
          <w:lang w:val="fr-FR"/>
        </w:rPr>
        <w:lastRenderedPageBreak/>
        <w:t>n</w:t>
      </w:r>
      <w:r w:rsidRPr="007E7C24">
        <w:rPr>
          <w:rStyle w:val="sea881cdf"/>
          <w:vertAlign w:val="superscript"/>
          <w:lang w:val="fr-FR"/>
        </w:rPr>
        <w:t>os</w:t>
      </w:r>
      <w:r w:rsidR="009E0206">
        <w:rPr>
          <w:rStyle w:val="sea881cdf"/>
          <w:vertAlign w:val="superscript"/>
          <w:lang w:val="fr-FR"/>
        </w:rPr>
        <w:t> </w:t>
      </w:r>
      <w:hyperlink r:id="rId15" w:anchor="{&quot;appno&quot;:[&quot;32492/96&quot;]}" w:tgtFrame="_blank" w:history="1">
        <w:r w:rsidRPr="00E07B06">
          <w:rPr>
            <w:rStyle w:val="Collegamentoipertestuale"/>
            <w:lang w:val="fr-FR"/>
          </w:rPr>
          <w:t>32492/96</w:t>
        </w:r>
      </w:hyperlink>
      <w:r w:rsidRPr="00E07B06">
        <w:rPr>
          <w:rStyle w:val="sb8d990e2"/>
          <w:lang w:val="fr-FR"/>
        </w:rPr>
        <w:t xml:space="preserve">, </w:t>
      </w:r>
      <w:hyperlink r:id="rId16" w:anchor="{&quot;appno&quot;:[&quot;32547/96&quot;]}" w:tgtFrame="_blank" w:history="1">
        <w:r w:rsidRPr="00E07B06">
          <w:rPr>
            <w:rStyle w:val="Collegamentoipertestuale"/>
            <w:lang w:val="fr-FR"/>
          </w:rPr>
          <w:t>32547/96</w:t>
        </w:r>
      </w:hyperlink>
      <w:r w:rsidRPr="00E07B06">
        <w:rPr>
          <w:rStyle w:val="sb8d990e2"/>
          <w:lang w:val="fr-FR"/>
        </w:rPr>
        <w:t xml:space="preserve">, </w:t>
      </w:r>
      <w:hyperlink r:id="rId17" w:anchor="{&quot;appno&quot;:[&quot;32548/96&quot;]}" w:tgtFrame="_blank" w:history="1">
        <w:r w:rsidRPr="00E07B06">
          <w:rPr>
            <w:rStyle w:val="Collegamentoipertestuale"/>
            <w:lang w:val="fr-FR"/>
          </w:rPr>
          <w:t>32548/96</w:t>
        </w:r>
      </w:hyperlink>
      <w:r w:rsidRPr="00E07B06">
        <w:rPr>
          <w:rStyle w:val="sb8d990e2"/>
          <w:lang w:val="fr-FR"/>
        </w:rPr>
        <w:t xml:space="preserve">, </w:t>
      </w:r>
      <w:hyperlink r:id="rId18" w:anchor="{&quot;appno&quot;:[&quot;33209/96&quot;]}" w:tgtFrame="_blank" w:history="1">
        <w:r w:rsidRPr="00E07B06">
          <w:rPr>
            <w:rStyle w:val="Collegamentoipertestuale"/>
            <w:lang w:val="fr-FR"/>
          </w:rPr>
          <w:t>33209/96</w:t>
        </w:r>
      </w:hyperlink>
      <w:r w:rsidRPr="00E07B06">
        <w:rPr>
          <w:rStyle w:val="sb8d990e2"/>
          <w:lang w:val="fr-FR"/>
        </w:rPr>
        <w:t xml:space="preserve"> et </w:t>
      </w:r>
      <w:hyperlink r:id="rId19" w:anchor="{&quot;appno&quot;:[&quot;33210/96&quot;]}" w:tgtFrame="_blank" w:history="1">
        <w:r w:rsidRPr="00E07B06">
          <w:rPr>
            <w:rStyle w:val="Collegamentoipertestuale"/>
            <w:lang w:val="fr-FR"/>
          </w:rPr>
          <w:t>33210/96</w:t>
        </w:r>
      </w:hyperlink>
      <w:r w:rsidRPr="00E07B06">
        <w:rPr>
          <w:rStyle w:val="sb8d990e2"/>
          <w:lang w:val="fr-FR"/>
        </w:rPr>
        <w:t>, § 145, CEDH 2000-VII ; pour un exemple d</w:t>
      </w:r>
      <w:r w:rsidR="00A14196">
        <w:rPr>
          <w:rStyle w:val="sb8d990e2"/>
          <w:lang w:val="fr-FR"/>
        </w:rPr>
        <w:t>’</w:t>
      </w:r>
      <w:r w:rsidRPr="00E07B06">
        <w:rPr>
          <w:rStyle w:val="sb8d990e2"/>
          <w:lang w:val="fr-FR"/>
        </w:rPr>
        <w:t>application par analogie d</w:t>
      </w:r>
      <w:r w:rsidR="00A14196">
        <w:rPr>
          <w:rStyle w:val="sb8d990e2"/>
          <w:lang w:val="fr-FR"/>
        </w:rPr>
        <w:t>’</w:t>
      </w:r>
      <w:r w:rsidRPr="00E07B06">
        <w:rPr>
          <w:rStyle w:val="sb8d990e2"/>
          <w:lang w:val="fr-FR"/>
        </w:rPr>
        <w:t>une peine, voir l</w:t>
      </w:r>
      <w:r w:rsidR="00A14196">
        <w:rPr>
          <w:rStyle w:val="sb8d990e2"/>
          <w:lang w:val="fr-FR"/>
        </w:rPr>
        <w:t>’</w:t>
      </w:r>
      <w:r w:rsidRPr="00E07B06">
        <w:rPr>
          <w:rStyle w:val="sb8d990e2"/>
          <w:lang w:val="fr-FR"/>
        </w:rPr>
        <w:t xml:space="preserve">arrêt </w:t>
      </w:r>
      <w:r w:rsidRPr="00477B06">
        <w:rPr>
          <w:rStyle w:val="s6b621b36"/>
          <w:i/>
          <w:lang w:val="fr-FR"/>
        </w:rPr>
        <w:t>Başkaya et Okçuoğlu c. Turquie</w:t>
      </w:r>
      <w:r w:rsidRPr="00477B06">
        <w:rPr>
          <w:rStyle w:val="sb8d990e2"/>
          <w:i/>
          <w:lang w:val="fr-FR"/>
        </w:rPr>
        <w:t xml:space="preserve"> </w:t>
      </w:r>
      <w:r w:rsidRPr="00E07B06">
        <w:rPr>
          <w:rStyle w:val="sb8d990e2"/>
          <w:lang w:val="fr-FR"/>
        </w:rPr>
        <w:t>[GC], n</w:t>
      </w:r>
      <w:r w:rsidRPr="00530AE0">
        <w:rPr>
          <w:rStyle w:val="sea881cdf"/>
          <w:vertAlign w:val="superscript"/>
          <w:lang w:val="fr-FR"/>
        </w:rPr>
        <w:t>os</w:t>
      </w:r>
      <w:r w:rsidRPr="00E07B06">
        <w:rPr>
          <w:rStyle w:val="sb8d990e2"/>
          <w:lang w:val="fr-FR"/>
        </w:rPr>
        <w:t xml:space="preserve"> </w:t>
      </w:r>
      <w:hyperlink r:id="rId20" w:anchor="{&quot;appno&quot;:[&quot;23536/94&quot;]}" w:tgtFrame="_blank" w:history="1">
        <w:r w:rsidRPr="00E07B06">
          <w:rPr>
            <w:rStyle w:val="Collegamentoipertestuale"/>
            <w:lang w:val="fr-FR"/>
          </w:rPr>
          <w:t>23536/94</w:t>
        </w:r>
      </w:hyperlink>
      <w:r w:rsidRPr="00E07B06">
        <w:rPr>
          <w:rStyle w:val="sb8d990e2"/>
          <w:lang w:val="fr-FR"/>
        </w:rPr>
        <w:t xml:space="preserve"> et </w:t>
      </w:r>
      <w:hyperlink r:id="rId21" w:anchor="{&quot;appno&quot;:[&quot;24408/94&quot;]}" w:tgtFrame="_blank" w:history="1">
        <w:r w:rsidRPr="00E07B06">
          <w:rPr>
            <w:rStyle w:val="Collegamentoipertestuale"/>
            <w:lang w:val="fr-FR"/>
          </w:rPr>
          <w:t>24408/94</w:t>
        </w:r>
      </w:hyperlink>
      <w:r w:rsidRPr="00E07B06">
        <w:rPr>
          <w:rStyle w:val="sb8d990e2"/>
          <w:lang w:val="fr-FR"/>
        </w:rPr>
        <w:t>, §§ 42-43, CEDH 1999</w:t>
      </w:r>
      <w:r w:rsidRPr="00E07B06">
        <w:rPr>
          <w:rStyle w:val="sb8d990e2"/>
          <w:lang w:val="fr-FR"/>
        </w:rPr>
        <w:noBreakHyphen/>
        <w:t>IV).</w:t>
      </w:r>
    </w:p>
    <w:p w:rsidR="00F66B50" w:rsidRPr="00E07B06" w:rsidRDefault="00F66B50" w:rsidP="00F66B50">
      <w:pPr>
        <w:pStyle w:val="JuQuotSub"/>
        <w:rPr>
          <w:lang w:val="fr-FR"/>
        </w:rPr>
      </w:pPr>
      <w:r w:rsidRPr="00E07B06">
        <w:rPr>
          <w:rStyle w:val="sb8d990e2"/>
          <w:lang w:val="fr-FR"/>
        </w:rPr>
        <w:t>79. Il s</w:t>
      </w:r>
      <w:r w:rsidR="00A14196">
        <w:rPr>
          <w:rStyle w:val="sb8d990e2"/>
          <w:lang w:val="fr-FR"/>
        </w:rPr>
        <w:t>’</w:t>
      </w:r>
      <w:r w:rsidRPr="00E07B06">
        <w:rPr>
          <w:rStyle w:val="sb8d990e2"/>
          <w:lang w:val="fr-FR"/>
        </w:rPr>
        <w:t>ensuit que la loi doit définir clairement les infractions et les peines qui les répriment. Cette condition se trouve remplie lorsque le justiciable peut savoir, à partir du libellé de la disposition pertinente, au besoin à l</w:t>
      </w:r>
      <w:r w:rsidR="00A14196">
        <w:rPr>
          <w:rStyle w:val="sb8d990e2"/>
          <w:lang w:val="fr-FR"/>
        </w:rPr>
        <w:t>’</w:t>
      </w:r>
      <w:r w:rsidRPr="00E07B06">
        <w:rPr>
          <w:rStyle w:val="sb8d990e2"/>
          <w:lang w:val="fr-FR"/>
        </w:rPr>
        <w:t>aide de l</w:t>
      </w:r>
      <w:r w:rsidR="00A14196">
        <w:rPr>
          <w:rStyle w:val="sb8d990e2"/>
          <w:lang w:val="fr-FR"/>
        </w:rPr>
        <w:t>’</w:t>
      </w:r>
      <w:r w:rsidRPr="00E07B06">
        <w:rPr>
          <w:rStyle w:val="sb8d990e2"/>
          <w:lang w:val="fr-FR"/>
        </w:rPr>
        <w:t>interprétation qui en est donnée par les tribunaux et le cas échéant après avoir recouru à des conseils éclairés, quels actes et omissions engagent sa responsabilité pénale et quelle peine il encourt de ce chef (</w:t>
      </w:r>
      <w:r w:rsidRPr="00477B06">
        <w:rPr>
          <w:rStyle w:val="s6b621b36"/>
          <w:i/>
          <w:lang w:val="fr-FR"/>
        </w:rPr>
        <w:t>Cantoni c. France</w:t>
      </w:r>
      <w:r w:rsidRPr="00E07B06">
        <w:rPr>
          <w:rStyle w:val="sb8d990e2"/>
          <w:lang w:val="fr-FR"/>
        </w:rPr>
        <w:t xml:space="preserve">, 15 novembre 1996, § 29, </w:t>
      </w:r>
      <w:r w:rsidRPr="00E07B06">
        <w:rPr>
          <w:rStyle w:val="s6b621b36"/>
          <w:lang w:val="fr-FR"/>
        </w:rPr>
        <w:t>Recueil des arrêts et décisions</w:t>
      </w:r>
      <w:r w:rsidRPr="00E07B06">
        <w:rPr>
          <w:rStyle w:val="sb8d990e2"/>
          <w:lang w:val="fr-FR"/>
        </w:rPr>
        <w:t xml:space="preserve"> 1996</w:t>
      </w:r>
      <w:r w:rsidRPr="00E07B06">
        <w:rPr>
          <w:rStyle w:val="sb8d990e2"/>
          <w:lang w:val="fr-FR"/>
        </w:rPr>
        <w:noBreakHyphen/>
        <w:t xml:space="preserve">V, et </w:t>
      </w:r>
      <w:r w:rsidRPr="00477B06">
        <w:rPr>
          <w:rStyle w:val="s6b621b36"/>
          <w:i/>
          <w:lang w:val="fr-FR"/>
        </w:rPr>
        <w:t>Kafkaris</w:t>
      </w:r>
      <w:r w:rsidRPr="00E07B06">
        <w:rPr>
          <w:rStyle w:val="sb8d990e2"/>
          <w:lang w:val="fr-FR"/>
        </w:rPr>
        <w:t>,</w:t>
      </w:r>
      <w:r w:rsidRPr="00E07B06">
        <w:rPr>
          <w:rStyle w:val="s6b621b36"/>
          <w:lang w:val="fr-FR"/>
        </w:rPr>
        <w:t xml:space="preserve"> </w:t>
      </w:r>
      <w:r w:rsidRPr="00E07B06">
        <w:rPr>
          <w:rStyle w:val="sb8d990e2"/>
          <w:lang w:val="fr-FR"/>
        </w:rPr>
        <w:t>précité, § 140).</w:t>
      </w:r>
    </w:p>
    <w:p w:rsidR="00F66B50" w:rsidRPr="00E07B06" w:rsidRDefault="00F66B50" w:rsidP="00F66B50">
      <w:pPr>
        <w:pStyle w:val="JuQuotSub"/>
        <w:rPr>
          <w:lang w:val="fr-FR"/>
        </w:rPr>
      </w:pPr>
      <w:r w:rsidRPr="00E07B06">
        <w:rPr>
          <w:rStyle w:val="sb8d990e2"/>
          <w:lang w:val="fr-FR"/>
        </w:rPr>
        <w:t>80. La tâche qui incombe à la Cour est donc, notamment, de s</w:t>
      </w:r>
      <w:r w:rsidR="00A14196">
        <w:rPr>
          <w:rStyle w:val="sb8d990e2"/>
          <w:lang w:val="fr-FR"/>
        </w:rPr>
        <w:t>’</w:t>
      </w:r>
      <w:r w:rsidRPr="00E07B06">
        <w:rPr>
          <w:rStyle w:val="sb8d990e2"/>
          <w:lang w:val="fr-FR"/>
        </w:rPr>
        <w:t>assurer que, au moment où un accusé a commis l</w:t>
      </w:r>
      <w:r w:rsidR="00A14196">
        <w:rPr>
          <w:rStyle w:val="sb8d990e2"/>
          <w:lang w:val="fr-FR"/>
        </w:rPr>
        <w:t>’</w:t>
      </w:r>
      <w:r w:rsidRPr="00E07B06">
        <w:rPr>
          <w:rStyle w:val="sb8d990e2"/>
          <w:lang w:val="fr-FR"/>
        </w:rPr>
        <w:t>acte qui a donné lieu aux poursuites et à la condamnation, il existait une disposition légale rendant l</w:t>
      </w:r>
      <w:r w:rsidR="00A14196">
        <w:rPr>
          <w:rStyle w:val="sb8d990e2"/>
          <w:lang w:val="fr-FR"/>
        </w:rPr>
        <w:t>’</w:t>
      </w:r>
      <w:r w:rsidRPr="00E07B06">
        <w:rPr>
          <w:rStyle w:val="sb8d990e2"/>
          <w:lang w:val="fr-FR"/>
        </w:rPr>
        <w:t>acte punissable et que la peine imposée n</w:t>
      </w:r>
      <w:r w:rsidR="00A14196">
        <w:rPr>
          <w:rStyle w:val="sb8d990e2"/>
          <w:lang w:val="fr-FR"/>
        </w:rPr>
        <w:t>’</w:t>
      </w:r>
      <w:r w:rsidRPr="00E07B06">
        <w:rPr>
          <w:rStyle w:val="sb8d990e2"/>
          <w:lang w:val="fr-FR"/>
        </w:rPr>
        <w:t>a pas excédé les limites fixées par cette disposition (</w:t>
      </w:r>
      <w:r w:rsidRPr="00477B06">
        <w:rPr>
          <w:rStyle w:val="s6b621b36"/>
          <w:i/>
          <w:lang w:val="fr-FR"/>
        </w:rPr>
        <w:t>Coëme et autres</w:t>
      </w:r>
      <w:r w:rsidRPr="00E07B06">
        <w:rPr>
          <w:rStyle w:val="s6b621b36"/>
          <w:lang w:val="fr-FR"/>
        </w:rPr>
        <w:t xml:space="preserve">, </w:t>
      </w:r>
      <w:r w:rsidRPr="00E07B06">
        <w:rPr>
          <w:rStyle w:val="sb8d990e2"/>
          <w:lang w:val="fr-FR"/>
        </w:rPr>
        <w:t xml:space="preserve">précité, § 145, et </w:t>
      </w:r>
      <w:r w:rsidRPr="00477B06">
        <w:rPr>
          <w:rStyle w:val="s6b621b36"/>
          <w:i/>
          <w:lang w:val="fr-FR"/>
        </w:rPr>
        <w:t>Achour c. France</w:t>
      </w:r>
      <w:r w:rsidRPr="00E07B06">
        <w:rPr>
          <w:rStyle w:val="sb8d990e2"/>
          <w:lang w:val="fr-FR"/>
        </w:rPr>
        <w:t xml:space="preserve"> [GC], n</w:t>
      </w:r>
      <w:r w:rsidRPr="00C60E2C">
        <w:rPr>
          <w:rStyle w:val="sea881cdf"/>
          <w:vertAlign w:val="superscript"/>
          <w:lang w:val="fr-FR"/>
        </w:rPr>
        <w:t>o</w:t>
      </w:r>
      <w:r w:rsidRPr="00E07B06">
        <w:rPr>
          <w:rStyle w:val="sb8d990e2"/>
          <w:lang w:val="fr-FR"/>
        </w:rPr>
        <w:t xml:space="preserve"> </w:t>
      </w:r>
      <w:hyperlink r:id="rId22" w:anchor="{&quot;appno&quot;:[&quot;67335/01&quot;]}" w:tgtFrame="_blank" w:history="1">
        <w:r w:rsidRPr="00E07B06">
          <w:rPr>
            <w:rStyle w:val="Collegamentoipertestuale"/>
            <w:lang w:val="fr-FR"/>
          </w:rPr>
          <w:t>67335/01</w:t>
        </w:r>
      </w:hyperlink>
      <w:r w:rsidRPr="00E07B06">
        <w:rPr>
          <w:rStyle w:val="sb8d990e2"/>
          <w:lang w:val="fr-FR"/>
        </w:rPr>
        <w:t>, § 43, CEDH 2006</w:t>
      </w:r>
      <w:r w:rsidRPr="00E07B06">
        <w:rPr>
          <w:rStyle w:val="sb8d990e2"/>
          <w:lang w:val="fr-FR"/>
        </w:rPr>
        <w:noBreakHyphen/>
        <w:t>IV).</w:t>
      </w:r>
      <w:r>
        <w:rPr>
          <w:rStyle w:val="sb8d990e2"/>
          <w:lang w:val="fr-FR"/>
        </w:rPr>
        <w:t> »</w:t>
      </w:r>
    </w:p>
    <w:p w:rsidR="00F66B50" w:rsidRPr="00493D16"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61</w:t>
      </w:r>
      <w:r>
        <w:rPr>
          <w:lang w:val="fr-FR"/>
        </w:rPr>
        <w:fldChar w:fldCharType="end"/>
      </w:r>
      <w:r>
        <w:rPr>
          <w:lang w:val="fr-FR"/>
        </w:rPr>
        <w:t xml:space="preserve">.  La Cour rappelle également </w:t>
      </w:r>
      <w:r w:rsidRPr="00493D16">
        <w:rPr>
          <w:rStyle w:val="sb8d990e2"/>
          <w:lang w:val="fr-FR"/>
        </w:rPr>
        <w:t>qu</w:t>
      </w:r>
      <w:r w:rsidR="00A14196">
        <w:rPr>
          <w:rStyle w:val="sb8d990e2"/>
          <w:lang w:val="fr-FR"/>
        </w:rPr>
        <w:t>’</w:t>
      </w:r>
      <w:r w:rsidRPr="00493D16">
        <w:rPr>
          <w:rStyle w:val="sb8d990e2"/>
          <w:lang w:val="fr-FR"/>
        </w:rPr>
        <w:t>elle n</w:t>
      </w:r>
      <w:r w:rsidR="00A14196">
        <w:rPr>
          <w:rStyle w:val="sb8d990e2"/>
          <w:lang w:val="fr-FR"/>
        </w:rPr>
        <w:t>’</w:t>
      </w:r>
      <w:r w:rsidRPr="00493D16">
        <w:rPr>
          <w:rStyle w:val="sb8d990e2"/>
          <w:lang w:val="fr-FR"/>
        </w:rPr>
        <w:t>a pas pour tâche de se substituer aux juridictions internes dans l</w:t>
      </w:r>
      <w:r w:rsidR="00A14196">
        <w:rPr>
          <w:rStyle w:val="sb8d990e2"/>
          <w:lang w:val="fr-FR"/>
        </w:rPr>
        <w:t>’</w:t>
      </w:r>
      <w:r w:rsidRPr="00493D16">
        <w:rPr>
          <w:rStyle w:val="sb8d990e2"/>
          <w:lang w:val="fr-FR"/>
        </w:rPr>
        <w:t xml:space="preserve">appréciation et la qualification juridique des faits, pourvu que celles-ci reposent sur une analyse raisonnable des éléments du dossier (voir, </w:t>
      </w:r>
      <w:r w:rsidRPr="00493D16">
        <w:rPr>
          <w:rStyle w:val="s6b621b36"/>
          <w:i/>
          <w:lang w:val="fr-FR"/>
        </w:rPr>
        <w:t>mutatis mutandis</w:t>
      </w:r>
      <w:r w:rsidRPr="00493D16">
        <w:rPr>
          <w:rStyle w:val="sb8d990e2"/>
          <w:lang w:val="fr-FR"/>
        </w:rPr>
        <w:t xml:space="preserve">, </w:t>
      </w:r>
      <w:r w:rsidRPr="00493D16">
        <w:rPr>
          <w:rStyle w:val="s6b621b36"/>
          <w:i/>
          <w:lang w:val="fr-FR"/>
        </w:rPr>
        <w:t>Florin Ionescu c. Roumanie</w:t>
      </w:r>
      <w:r w:rsidRPr="00493D16">
        <w:rPr>
          <w:rStyle w:val="sb8d990e2"/>
          <w:lang w:val="fr-FR"/>
        </w:rPr>
        <w:t>, n</w:t>
      </w:r>
      <w:r w:rsidRPr="00DE1B49">
        <w:rPr>
          <w:rStyle w:val="sea881cdf"/>
          <w:vertAlign w:val="superscript"/>
          <w:lang w:val="fr-FR"/>
        </w:rPr>
        <w:t>o</w:t>
      </w:r>
      <w:r w:rsidRPr="00493D16">
        <w:rPr>
          <w:rStyle w:val="sb8d990e2"/>
          <w:lang w:val="fr-FR"/>
        </w:rPr>
        <w:t xml:space="preserve"> </w:t>
      </w:r>
      <w:hyperlink r:id="rId23" w:anchor="{&quot;appno&quot;:[&quot;24916/05&quot;]}" w:tgtFrame="_blank" w:history="1">
        <w:r w:rsidRPr="00493D16">
          <w:rPr>
            <w:rStyle w:val="Collegamentoipertestuale"/>
            <w:lang w:val="fr-FR"/>
          </w:rPr>
          <w:t>24916/05</w:t>
        </w:r>
      </w:hyperlink>
      <w:r w:rsidRPr="00493D16">
        <w:rPr>
          <w:rStyle w:val="sb8d990e2"/>
          <w:lang w:val="fr-FR"/>
        </w:rPr>
        <w:t>, § 59, 24 mai 2011). Plus généralement, la Cour rappelle que c</w:t>
      </w:r>
      <w:r w:rsidR="00A14196">
        <w:rPr>
          <w:rStyle w:val="sb8d990e2"/>
          <w:lang w:val="fr-FR"/>
        </w:rPr>
        <w:t>’</w:t>
      </w:r>
      <w:r w:rsidRPr="00493D16">
        <w:rPr>
          <w:rStyle w:val="sb8d990e2"/>
          <w:lang w:val="fr-FR"/>
        </w:rPr>
        <w:t>est au premier chef aux autorités nationales, notamment aux cours et aux tribunaux, qu</w:t>
      </w:r>
      <w:r w:rsidR="00A14196">
        <w:rPr>
          <w:rStyle w:val="sb8d990e2"/>
          <w:lang w:val="fr-FR"/>
        </w:rPr>
        <w:t>’</w:t>
      </w:r>
      <w:r w:rsidRPr="00493D16">
        <w:rPr>
          <w:rStyle w:val="sb8d990e2"/>
          <w:lang w:val="fr-FR"/>
        </w:rPr>
        <w:t>il appartient d</w:t>
      </w:r>
      <w:r w:rsidR="00A14196">
        <w:rPr>
          <w:rStyle w:val="sb8d990e2"/>
          <w:lang w:val="fr-FR"/>
        </w:rPr>
        <w:t>’</w:t>
      </w:r>
      <w:r w:rsidRPr="00493D16">
        <w:rPr>
          <w:rStyle w:val="sb8d990e2"/>
          <w:lang w:val="fr-FR"/>
        </w:rPr>
        <w:t>interpréter la législation interne. Son rôle se limite donc à vérifier la compatibilité avec la Convention des effets de pareille interprétation (</w:t>
      </w:r>
      <w:r w:rsidRPr="00493D16">
        <w:rPr>
          <w:rStyle w:val="s6b621b36"/>
          <w:i/>
          <w:lang w:val="fr-FR"/>
        </w:rPr>
        <w:t>Waite et Kennedy c. Allemagne</w:t>
      </w:r>
      <w:r w:rsidRPr="00493D16">
        <w:rPr>
          <w:rStyle w:val="sb8d990e2"/>
          <w:lang w:val="fr-FR"/>
        </w:rPr>
        <w:t xml:space="preserve"> [GC], n</w:t>
      </w:r>
      <w:r w:rsidRPr="005422DE">
        <w:rPr>
          <w:rStyle w:val="sea881cdf"/>
          <w:vertAlign w:val="superscript"/>
          <w:lang w:val="fr-FR"/>
        </w:rPr>
        <w:t>o</w:t>
      </w:r>
      <w:r w:rsidR="00C91BF0">
        <w:rPr>
          <w:rStyle w:val="sea881cdf"/>
          <w:vertAlign w:val="superscript"/>
          <w:lang w:val="fr-FR"/>
        </w:rPr>
        <w:t> </w:t>
      </w:r>
      <w:hyperlink r:id="rId24" w:anchor="{&quot;appno&quot;:[&quot;26083/94&quot;]}" w:tgtFrame="_blank" w:history="1">
        <w:r w:rsidRPr="00493D16">
          <w:rPr>
            <w:rStyle w:val="Collegamentoipertestuale"/>
            <w:lang w:val="fr-FR"/>
          </w:rPr>
          <w:t>26083/94</w:t>
        </w:r>
      </w:hyperlink>
      <w:r w:rsidRPr="00493D16">
        <w:rPr>
          <w:rStyle w:val="sb8d990e2"/>
          <w:lang w:val="fr-FR"/>
        </w:rPr>
        <w:t xml:space="preserve">, § 54, CEDH 1999-I, </w:t>
      </w:r>
      <w:r w:rsidRPr="00493D16">
        <w:rPr>
          <w:rStyle w:val="s6b621b36"/>
          <w:i/>
          <w:lang w:val="fr-FR"/>
        </w:rPr>
        <w:t>Korbely c. Hongrie</w:t>
      </w:r>
      <w:r w:rsidRPr="00493D16">
        <w:rPr>
          <w:rStyle w:val="sb8d990e2"/>
          <w:lang w:val="fr-FR"/>
        </w:rPr>
        <w:t>, [GC], n</w:t>
      </w:r>
      <w:r w:rsidRPr="005422DE">
        <w:rPr>
          <w:rStyle w:val="sea881cdf"/>
          <w:vertAlign w:val="superscript"/>
          <w:lang w:val="fr-FR"/>
        </w:rPr>
        <w:t>o</w:t>
      </w:r>
      <w:r w:rsidRPr="00493D16">
        <w:rPr>
          <w:rStyle w:val="sb8d990e2"/>
          <w:lang w:val="fr-FR"/>
        </w:rPr>
        <w:t xml:space="preserve"> </w:t>
      </w:r>
      <w:hyperlink r:id="rId25" w:anchor="{&quot;appno&quot;:[&quot;9174/02&quot;]}" w:tgtFrame="_blank" w:history="1">
        <w:r w:rsidRPr="00493D16">
          <w:rPr>
            <w:rStyle w:val="Collegamentoipertestuale"/>
            <w:lang w:val="fr-FR"/>
          </w:rPr>
          <w:t>9174/02</w:t>
        </w:r>
      </w:hyperlink>
      <w:r w:rsidRPr="00493D16">
        <w:rPr>
          <w:rStyle w:val="sb8d990e2"/>
          <w:lang w:val="fr-FR"/>
        </w:rPr>
        <w:t>, §§</w:t>
      </w:r>
      <w:r w:rsidR="005422DE">
        <w:rPr>
          <w:rStyle w:val="sb8d990e2"/>
          <w:lang w:val="fr-FR"/>
        </w:rPr>
        <w:t> </w:t>
      </w:r>
      <w:r w:rsidRPr="00493D16">
        <w:rPr>
          <w:rStyle w:val="sb8d990e2"/>
          <w:lang w:val="fr-FR"/>
        </w:rPr>
        <w:t xml:space="preserve">72-73, CEDH 2008, et </w:t>
      </w:r>
      <w:r w:rsidRPr="00493D16">
        <w:rPr>
          <w:rStyle w:val="s6b621b36"/>
          <w:i/>
          <w:lang w:val="fr-FR"/>
        </w:rPr>
        <w:t>Kononov c. Lettonie</w:t>
      </w:r>
      <w:r w:rsidRPr="00493D16">
        <w:rPr>
          <w:rStyle w:val="sb8d990e2"/>
          <w:lang w:val="fr-FR"/>
        </w:rPr>
        <w:t xml:space="preserve"> [GC], n</w:t>
      </w:r>
      <w:r w:rsidRPr="00705227">
        <w:rPr>
          <w:rStyle w:val="sea881cdf"/>
          <w:vertAlign w:val="superscript"/>
          <w:lang w:val="fr-FR"/>
        </w:rPr>
        <w:t>o</w:t>
      </w:r>
      <w:r w:rsidRPr="00493D16">
        <w:rPr>
          <w:rStyle w:val="sb8d990e2"/>
          <w:lang w:val="fr-FR"/>
        </w:rPr>
        <w:t xml:space="preserve"> </w:t>
      </w:r>
      <w:hyperlink r:id="rId26" w:anchor="{&quot;appno&quot;:[&quot;36376/04&quot;]}" w:tgtFrame="_blank" w:history="1">
        <w:r w:rsidRPr="00493D16">
          <w:rPr>
            <w:rStyle w:val="Collegamentoipertestuale"/>
            <w:lang w:val="fr-FR"/>
          </w:rPr>
          <w:t>36376/04</w:t>
        </w:r>
      </w:hyperlink>
      <w:r w:rsidRPr="00493D16">
        <w:rPr>
          <w:rStyle w:val="sb8d990e2"/>
          <w:lang w:val="fr-FR"/>
        </w:rPr>
        <w:t>, § 197, CEDH 2010).</w:t>
      </w:r>
    </w:p>
    <w:p w:rsidR="00F66B50" w:rsidRPr="00493D16" w:rsidRDefault="00F66B50" w:rsidP="00F66B50">
      <w:pPr>
        <w:pStyle w:val="ECHRPara"/>
        <w:rPr>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3B0C14">
        <w:rPr>
          <w:rStyle w:val="sb8d990e2"/>
          <w:noProof/>
          <w:lang w:val="fr-FR"/>
        </w:rPr>
        <w:t>62</w:t>
      </w:r>
      <w:r>
        <w:rPr>
          <w:rStyle w:val="sb8d990e2"/>
          <w:lang w:val="fr-FR"/>
        </w:rPr>
        <w:fldChar w:fldCharType="end"/>
      </w:r>
      <w:r>
        <w:rPr>
          <w:rStyle w:val="sb8d990e2"/>
          <w:lang w:val="fr-FR"/>
        </w:rPr>
        <w:t>.  </w:t>
      </w:r>
      <w:r w:rsidRPr="00493D16">
        <w:rPr>
          <w:rStyle w:val="sb8d990e2"/>
          <w:lang w:val="fr-FR"/>
        </w:rPr>
        <w:t>Toutefois, la Cour doit jouir d</w:t>
      </w:r>
      <w:r w:rsidR="00A14196">
        <w:rPr>
          <w:rStyle w:val="sb8d990e2"/>
          <w:lang w:val="fr-FR"/>
        </w:rPr>
        <w:t>’</w:t>
      </w:r>
      <w:r w:rsidRPr="00493D16">
        <w:rPr>
          <w:rStyle w:val="sb8d990e2"/>
          <w:lang w:val="fr-FR"/>
        </w:rPr>
        <w:t>un pouvoir de contrôle plus large lorsque le droit protégé par une disposition de la Convention, en l</w:t>
      </w:r>
      <w:r w:rsidR="00A14196">
        <w:rPr>
          <w:rStyle w:val="sb8d990e2"/>
          <w:lang w:val="fr-FR"/>
        </w:rPr>
        <w:t>’</w:t>
      </w:r>
      <w:r w:rsidRPr="00493D16">
        <w:rPr>
          <w:rStyle w:val="sb8d990e2"/>
          <w:lang w:val="fr-FR"/>
        </w:rPr>
        <w:t>occurrence l</w:t>
      </w:r>
      <w:r w:rsidR="00A14196">
        <w:rPr>
          <w:rStyle w:val="sb8d990e2"/>
          <w:lang w:val="fr-FR"/>
        </w:rPr>
        <w:t>’</w:t>
      </w:r>
      <w:r w:rsidRPr="00493D16">
        <w:rPr>
          <w:rStyle w:val="sb8d990e2"/>
          <w:lang w:val="fr-FR"/>
        </w:rPr>
        <w:t>article 7, requiert l</w:t>
      </w:r>
      <w:r w:rsidR="00A14196">
        <w:rPr>
          <w:rStyle w:val="sb8d990e2"/>
          <w:lang w:val="fr-FR"/>
        </w:rPr>
        <w:t>’</w:t>
      </w:r>
      <w:r w:rsidRPr="00493D16">
        <w:rPr>
          <w:rStyle w:val="sb8d990e2"/>
          <w:lang w:val="fr-FR"/>
        </w:rPr>
        <w:t>existence d</w:t>
      </w:r>
      <w:r w:rsidR="00A14196">
        <w:rPr>
          <w:rStyle w:val="sb8d990e2"/>
          <w:lang w:val="fr-FR"/>
        </w:rPr>
        <w:t>’</w:t>
      </w:r>
      <w:r w:rsidRPr="00493D16">
        <w:rPr>
          <w:rStyle w:val="sb8d990e2"/>
          <w:lang w:val="fr-FR"/>
        </w:rPr>
        <w:t>une base légale pour l</w:t>
      </w:r>
      <w:r w:rsidR="00A14196">
        <w:rPr>
          <w:rStyle w:val="sb8d990e2"/>
          <w:lang w:val="fr-FR"/>
        </w:rPr>
        <w:t>’</w:t>
      </w:r>
      <w:r w:rsidRPr="00493D16">
        <w:rPr>
          <w:rStyle w:val="sb8d990e2"/>
          <w:lang w:val="fr-FR"/>
        </w:rPr>
        <w:t>infliction d</w:t>
      </w:r>
      <w:r w:rsidR="00A14196">
        <w:rPr>
          <w:rStyle w:val="sb8d990e2"/>
          <w:lang w:val="fr-FR"/>
        </w:rPr>
        <w:t>’</w:t>
      </w:r>
      <w:r w:rsidRPr="00493D16">
        <w:rPr>
          <w:rStyle w:val="sb8d990e2"/>
          <w:lang w:val="fr-FR"/>
        </w:rPr>
        <w:t>une condamnation et d</w:t>
      </w:r>
      <w:r w:rsidR="00A14196">
        <w:rPr>
          <w:rStyle w:val="sb8d990e2"/>
          <w:lang w:val="fr-FR"/>
        </w:rPr>
        <w:t>’</w:t>
      </w:r>
      <w:r w:rsidRPr="00493D16">
        <w:rPr>
          <w:rStyle w:val="sb8d990e2"/>
          <w:lang w:val="fr-FR"/>
        </w:rPr>
        <w:t>une peine. L</w:t>
      </w:r>
      <w:r w:rsidR="00A14196">
        <w:rPr>
          <w:rStyle w:val="sb8d990e2"/>
          <w:lang w:val="fr-FR"/>
        </w:rPr>
        <w:t>’</w:t>
      </w:r>
      <w:r w:rsidRPr="00493D16">
        <w:rPr>
          <w:rStyle w:val="sb8d990e2"/>
          <w:lang w:val="fr-FR"/>
        </w:rPr>
        <w:t>article 7 § 1 exige de la Cour qu</w:t>
      </w:r>
      <w:r w:rsidR="00A14196">
        <w:rPr>
          <w:rStyle w:val="sb8d990e2"/>
          <w:lang w:val="fr-FR"/>
        </w:rPr>
        <w:t>’</w:t>
      </w:r>
      <w:r w:rsidRPr="00493D16">
        <w:rPr>
          <w:rStyle w:val="sb8d990e2"/>
          <w:lang w:val="fr-FR"/>
        </w:rPr>
        <w:t>elle recherche si la condamnation du requérant reposait à l</w:t>
      </w:r>
      <w:r w:rsidR="00A14196">
        <w:rPr>
          <w:rStyle w:val="sb8d990e2"/>
          <w:lang w:val="fr-FR"/>
        </w:rPr>
        <w:t>’</w:t>
      </w:r>
      <w:r w:rsidRPr="00493D16">
        <w:rPr>
          <w:rStyle w:val="sb8d990e2"/>
          <w:lang w:val="fr-FR"/>
        </w:rPr>
        <w:t>époque sur une base légale. En particulier, elle doit s</w:t>
      </w:r>
      <w:r w:rsidR="00A14196">
        <w:rPr>
          <w:rStyle w:val="sb8d990e2"/>
          <w:lang w:val="fr-FR"/>
        </w:rPr>
        <w:t>’</w:t>
      </w:r>
      <w:r w:rsidRPr="00493D16">
        <w:rPr>
          <w:rStyle w:val="sb8d990e2"/>
          <w:lang w:val="fr-FR"/>
        </w:rPr>
        <w:t>assurer que le résultat auquel ont abouti les juridictions internes compétentes était en conformité avec l</w:t>
      </w:r>
      <w:r w:rsidR="00A14196">
        <w:rPr>
          <w:rStyle w:val="sb8d990e2"/>
          <w:lang w:val="fr-FR"/>
        </w:rPr>
        <w:t>’</w:t>
      </w:r>
      <w:r w:rsidRPr="00493D16">
        <w:rPr>
          <w:rStyle w:val="sb8d990e2"/>
          <w:lang w:val="fr-FR"/>
        </w:rPr>
        <w:t>article 7 de la Convention. L</w:t>
      </w:r>
      <w:r w:rsidR="00A14196">
        <w:rPr>
          <w:rStyle w:val="sb8d990e2"/>
          <w:lang w:val="fr-FR"/>
        </w:rPr>
        <w:t>’</w:t>
      </w:r>
      <w:r w:rsidRPr="00493D16">
        <w:rPr>
          <w:rStyle w:val="sb8d990e2"/>
          <w:lang w:val="fr-FR"/>
        </w:rPr>
        <w:t>article 7 deviendrait sans objet si l</w:t>
      </w:r>
      <w:r w:rsidR="00A14196">
        <w:rPr>
          <w:rStyle w:val="sb8d990e2"/>
          <w:lang w:val="fr-FR"/>
        </w:rPr>
        <w:t>’</w:t>
      </w:r>
      <w:r w:rsidRPr="00493D16">
        <w:rPr>
          <w:rStyle w:val="sb8d990e2"/>
          <w:lang w:val="fr-FR"/>
        </w:rPr>
        <w:t xml:space="preserve">on accordait un pouvoir de contrôle moins large à la Cour (voir </w:t>
      </w:r>
      <w:r w:rsidRPr="00493D16">
        <w:rPr>
          <w:rStyle w:val="s6b621b36"/>
          <w:i/>
          <w:lang w:val="fr-FR"/>
        </w:rPr>
        <w:t>Kononov</w:t>
      </w:r>
      <w:r w:rsidRPr="00493D16">
        <w:rPr>
          <w:rStyle w:val="sb8d990e2"/>
          <w:lang w:val="fr-FR"/>
        </w:rPr>
        <w:t>, précité, § 198).</w:t>
      </w:r>
    </w:p>
    <w:p w:rsidR="00F66B50" w:rsidRDefault="00F66B50" w:rsidP="00F66B50">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3B0C14">
        <w:rPr>
          <w:rStyle w:val="sb8d990e2"/>
          <w:noProof/>
          <w:lang w:val="fr-FR"/>
        </w:rPr>
        <w:t>63</w:t>
      </w:r>
      <w:r>
        <w:rPr>
          <w:rStyle w:val="sb8d990e2"/>
          <w:lang w:val="fr-FR"/>
        </w:rPr>
        <w:fldChar w:fldCharType="end"/>
      </w:r>
      <w:r>
        <w:rPr>
          <w:rStyle w:val="sb8d990e2"/>
          <w:lang w:val="fr-FR"/>
        </w:rPr>
        <w:t>.  </w:t>
      </w:r>
      <w:r w:rsidRPr="00493D16">
        <w:rPr>
          <w:rStyle w:val="sb8d990e2"/>
          <w:lang w:val="fr-FR"/>
        </w:rPr>
        <w:t xml:space="preserve">En somme, la Cour doit rechercher si la condamnation du requérant reposait sur une base suffisamment claire (voir </w:t>
      </w:r>
      <w:r w:rsidRPr="00493D16">
        <w:rPr>
          <w:rStyle w:val="s6b621b36"/>
          <w:i/>
          <w:lang w:val="fr-FR"/>
        </w:rPr>
        <w:t>Kononov</w:t>
      </w:r>
      <w:r w:rsidRPr="00493D16">
        <w:rPr>
          <w:rStyle w:val="sb8d990e2"/>
          <w:lang w:val="fr-FR"/>
        </w:rPr>
        <w:t>, précité, § 199</w:t>
      </w:r>
      <w:r>
        <w:rPr>
          <w:rStyle w:val="sb8d990e2"/>
          <w:lang w:val="fr-FR"/>
        </w:rPr>
        <w:t xml:space="preserve"> ; </w:t>
      </w:r>
      <w:r w:rsidRPr="00493D16">
        <w:rPr>
          <w:i/>
          <w:snapToGrid w:val="0"/>
          <w:lang w:val="fr-FR"/>
        </w:rPr>
        <w:t>Rohlena</w:t>
      </w:r>
      <w:r w:rsidRPr="00493D16">
        <w:rPr>
          <w:snapToGrid w:val="0"/>
          <w:lang w:val="fr-FR"/>
        </w:rPr>
        <w:t xml:space="preserve">, </w:t>
      </w:r>
      <w:r>
        <w:rPr>
          <w:snapToGrid w:val="0"/>
          <w:lang w:val="fr-FR"/>
        </w:rPr>
        <w:t>précité, § 51-53</w:t>
      </w:r>
      <w:r w:rsidRPr="00493D16">
        <w:rPr>
          <w:rStyle w:val="sb8d990e2"/>
          <w:lang w:val="fr-FR"/>
        </w:rPr>
        <w:t>).</w:t>
      </w:r>
    </w:p>
    <w:p w:rsidR="005D44BD" w:rsidRDefault="00D04FE5" w:rsidP="00885A07">
      <w:pPr>
        <w:pStyle w:val="ECHRHeading4"/>
        <w:rPr>
          <w:rStyle w:val="sb8d990e2"/>
          <w:lang w:val="fr-FR"/>
        </w:rPr>
      </w:pPr>
      <w:r>
        <w:rPr>
          <w:rStyle w:val="sb8d990e2"/>
          <w:lang w:val="fr-FR"/>
        </w:rPr>
        <w:t>b)  </w:t>
      </w:r>
      <w:r w:rsidR="002B49E6">
        <w:rPr>
          <w:rStyle w:val="sb8d990e2"/>
          <w:lang w:val="fr-FR"/>
        </w:rPr>
        <w:t>Application d</w:t>
      </w:r>
      <w:r w:rsidR="004057F4">
        <w:rPr>
          <w:rStyle w:val="sb8d990e2"/>
          <w:lang w:val="fr-FR"/>
        </w:rPr>
        <w:t xml:space="preserve">es principes </w:t>
      </w:r>
      <w:r w:rsidR="002B49E6">
        <w:rPr>
          <w:rStyle w:val="sb8d990e2"/>
          <w:lang w:val="fr-FR"/>
        </w:rPr>
        <w:t>précités en l</w:t>
      </w:r>
      <w:r w:rsidR="00A14196">
        <w:rPr>
          <w:rStyle w:val="sb8d990e2"/>
          <w:lang w:val="fr-FR"/>
        </w:rPr>
        <w:t>’</w:t>
      </w:r>
      <w:r w:rsidR="002B49E6">
        <w:rPr>
          <w:rStyle w:val="sb8d990e2"/>
          <w:lang w:val="fr-FR"/>
        </w:rPr>
        <w:t>espèce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64</w:t>
      </w:r>
      <w:r>
        <w:rPr>
          <w:lang w:val="fr-FR"/>
        </w:rPr>
        <w:fldChar w:fldCharType="end"/>
      </w:r>
      <w:r w:rsidRPr="00AD412E">
        <w:rPr>
          <w:lang w:val="fr-FR"/>
        </w:rPr>
        <w:t>.  </w:t>
      </w:r>
      <w:r w:rsidR="008E299F">
        <w:rPr>
          <w:lang w:val="fr-FR"/>
        </w:rPr>
        <w:t>L</w:t>
      </w:r>
      <w:r>
        <w:rPr>
          <w:lang w:val="fr-FR"/>
        </w:rPr>
        <w:t>a</w:t>
      </w:r>
      <w:r w:rsidR="008E299F">
        <w:rPr>
          <w:lang w:val="fr-FR"/>
        </w:rPr>
        <w:t xml:space="preserve"> Cour estime que la</w:t>
      </w:r>
      <w:r>
        <w:rPr>
          <w:lang w:val="fr-FR"/>
        </w:rPr>
        <w:t xml:space="preserve"> question qui se pose </w:t>
      </w:r>
      <w:r w:rsidR="00071CB3">
        <w:rPr>
          <w:lang w:val="fr-FR"/>
        </w:rPr>
        <w:t>en l</w:t>
      </w:r>
      <w:r w:rsidR="00A14196">
        <w:rPr>
          <w:lang w:val="fr-FR"/>
        </w:rPr>
        <w:t>’</w:t>
      </w:r>
      <w:r w:rsidR="00071CB3">
        <w:rPr>
          <w:lang w:val="fr-FR"/>
        </w:rPr>
        <w:t xml:space="preserve">espèce </w:t>
      </w:r>
      <w:r>
        <w:rPr>
          <w:lang w:val="fr-FR"/>
        </w:rPr>
        <w:t>est celle de savoir si, à l</w:t>
      </w:r>
      <w:r w:rsidR="00A14196">
        <w:rPr>
          <w:lang w:val="fr-FR"/>
        </w:rPr>
        <w:t>’</w:t>
      </w:r>
      <w:r>
        <w:rPr>
          <w:lang w:val="fr-FR"/>
        </w:rPr>
        <w:t xml:space="preserve">époque </w:t>
      </w:r>
      <w:r w:rsidR="00F50101">
        <w:rPr>
          <w:lang w:val="fr-FR"/>
        </w:rPr>
        <w:t>d</w:t>
      </w:r>
      <w:r>
        <w:rPr>
          <w:lang w:val="fr-FR"/>
        </w:rPr>
        <w:t xml:space="preserve">es faits reprochés au requérant, la loi applicable </w:t>
      </w:r>
      <w:r>
        <w:rPr>
          <w:lang w:val="fr-FR"/>
        </w:rPr>
        <w:lastRenderedPageBreak/>
        <w:t>définissa</w:t>
      </w:r>
      <w:r w:rsidR="00F70F52">
        <w:rPr>
          <w:lang w:val="fr-FR"/>
        </w:rPr>
        <w:t>it clairement l</w:t>
      </w:r>
      <w:r w:rsidR="00A14196">
        <w:rPr>
          <w:lang w:val="fr-FR"/>
        </w:rPr>
        <w:t>’</w:t>
      </w:r>
      <w:r w:rsidR="00F70F52">
        <w:rPr>
          <w:lang w:val="fr-FR"/>
        </w:rPr>
        <w:t xml:space="preserve">infraction de </w:t>
      </w:r>
      <w:r>
        <w:rPr>
          <w:lang w:val="fr-FR"/>
        </w:rPr>
        <w:t>concours e</w:t>
      </w:r>
      <w:r w:rsidR="00F70F52">
        <w:rPr>
          <w:lang w:val="fr-FR"/>
        </w:rPr>
        <w:t xml:space="preserve">xterne en association </w:t>
      </w:r>
      <w:r w:rsidR="00534D33">
        <w:rPr>
          <w:lang w:val="fr-FR"/>
        </w:rPr>
        <w:t>de type mafieux</w:t>
      </w:r>
      <w:r>
        <w:rPr>
          <w:lang w:val="fr-FR"/>
        </w:rPr>
        <w:t>.</w:t>
      </w:r>
      <w:r w:rsidR="00F70F52">
        <w:rPr>
          <w:lang w:val="fr-FR"/>
        </w:rPr>
        <w:t xml:space="preserve"> Il y a lieu d</w:t>
      </w:r>
      <w:r w:rsidR="00A14196">
        <w:rPr>
          <w:lang w:val="fr-FR"/>
        </w:rPr>
        <w:t>’</w:t>
      </w:r>
      <w:r w:rsidR="00F70F52">
        <w:rPr>
          <w:lang w:val="fr-FR"/>
        </w:rPr>
        <w:t>examiner donc si, à partir du libellé des dispositions pertinentes et à l</w:t>
      </w:r>
      <w:r w:rsidR="00A14196">
        <w:rPr>
          <w:lang w:val="fr-FR"/>
        </w:rPr>
        <w:t>’</w:t>
      </w:r>
      <w:r w:rsidR="00F70F52">
        <w:rPr>
          <w:lang w:val="fr-FR"/>
        </w:rPr>
        <w:t>aide de l</w:t>
      </w:r>
      <w:r w:rsidR="00A14196">
        <w:rPr>
          <w:lang w:val="fr-FR"/>
        </w:rPr>
        <w:t>’</w:t>
      </w:r>
      <w:r w:rsidR="00F70F52">
        <w:rPr>
          <w:lang w:val="fr-FR"/>
        </w:rPr>
        <w:t xml:space="preserve">interprétation de la loi fournie par les tribunaux internes, </w:t>
      </w:r>
      <w:r w:rsidR="00D153D7">
        <w:rPr>
          <w:lang w:val="fr-FR"/>
        </w:rPr>
        <w:t>le requérant</w:t>
      </w:r>
      <w:r w:rsidR="00F70F52">
        <w:rPr>
          <w:lang w:val="fr-FR"/>
        </w:rPr>
        <w:t xml:space="preserve"> pouvait connaître</w:t>
      </w:r>
      <w:r>
        <w:rPr>
          <w:lang w:val="fr-FR"/>
        </w:rPr>
        <w:t xml:space="preserve"> les </w:t>
      </w:r>
      <w:r w:rsidR="00083FF8">
        <w:rPr>
          <w:lang w:val="fr-FR"/>
        </w:rPr>
        <w:t xml:space="preserve">conséquences de ses </w:t>
      </w:r>
      <w:r>
        <w:rPr>
          <w:lang w:val="fr-FR"/>
        </w:rPr>
        <w:t xml:space="preserve">actes </w:t>
      </w:r>
      <w:r w:rsidR="00083FF8">
        <w:rPr>
          <w:lang w:val="fr-FR"/>
        </w:rPr>
        <w:t xml:space="preserve">sur le plan </w:t>
      </w:r>
      <w:r>
        <w:rPr>
          <w:lang w:val="fr-FR"/>
        </w:rPr>
        <w:t>pénal.</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65</w:t>
      </w:r>
      <w:r>
        <w:rPr>
          <w:lang w:val="fr-FR"/>
        </w:rPr>
        <w:fldChar w:fldCharType="end"/>
      </w:r>
      <w:r>
        <w:rPr>
          <w:lang w:val="fr-FR"/>
        </w:rPr>
        <w:t>.  La Cour note d</w:t>
      </w:r>
      <w:r w:rsidR="00A14196">
        <w:rPr>
          <w:lang w:val="fr-FR"/>
        </w:rPr>
        <w:t>’</w:t>
      </w:r>
      <w:r>
        <w:rPr>
          <w:lang w:val="fr-FR"/>
        </w:rPr>
        <w:t>emblée que, dans le cas d</w:t>
      </w:r>
      <w:r w:rsidR="00A14196">
        <w:rPr>
          <w:lang w:val="fr-FR"/>
        </w:rPr>
        <w:t>’</w:t>
      </w:r>
      <w:r>
        <w:rPr>
          <w:lang w:val="fr-FR"/>
        </w:rPr>
        <w:t xml:space="preserve">espèce, le requérant a été </w:t>
      </w:r>
      <w:r w:rsidRPr="00B308B3">
        <w:rPr>
          <w:lang w:val="fr-FR"/>
        </w:rPr>
        <w:t>condamné à une peine</w:t>
      </w:r>
      <w:r w:rsidR="00A05D2C" w:rsidRPr="00B308B3">
        <w:rPr>
          <w:lang w:val="fr-FR"/>
        </w:rPr>
        <w:t xml:space="preserve"> de dix ans de réclusion pour </w:t>
      </w:r>
      <w:r w:rsidRPr="00B308B3">
        <w:rPr>
          <w:lang w:val="fr-FR"/>
        </w:rPr>
        <w:t>co</w:t>
      </w:r>
      <w:r w:rsidR="00A05D2C" w:rsidRPr="00B308B3">
        <w:rPr>
          <w:lang w:val="fr-FR"/>
        </w:rPr>
        <w:t xml:space="preserve">ncours en association </w:t>
      </w:r>
      <w:r w:rsidR="00534D33" w:rsidRPr="00B308B3">
        <w:rPr>
          <w:lang w:val="fr-FR"/>
        </w:rPr>
        <w:t xml:space="preserve">de type mafieux </w:t>
      </w:r>
      <w:r w:rsidRPr="00B308B3">
        <w:rPr>
          <w:lang w:val="fr-FR"/>
        </w:rPr>
        <w:t>par un jugement du tribunal de Palerme du 5 avril 1996</w:t>
      </w:r>
      <w:r w:rsidR="007A0E55" w:rsidRPr="00B308B3">
        <w:rPr>
          <w:lang w:val="fr-FR"/>
        </w:rPr>
        <w:t xml:space="preserve"> relativement à des faits accomplis entre 1979 et 1988</w:t>
      </w:r>
      <w:r w:rsidRPr="00B308B3">
        <w:rPr>
          <w:lang w:val="fr-FR"/>
        </w:rPr>
        <w:t xml:space="preserve">. </w:t>
      </w:r>
      <w:r w:rsidR="00101531" w:rsidRPr="00B308B3">
        <w:rPr>
          <w:lang w:val="fr-FR"/>
        </w:rPr>
        <w:t>D</w:t>
      </w:r>
      <w:r w:rsidR="00A05D2C" w:rsidRPr="00B308B3">
        <w:rPr>
          <w:lang w:val="fr-FR"/>
        </w:rPr>
        <w:t xml:space="preserve">ans la partie en droit du jugement, </w:t>
      </w:r>
      <w:r w:rsidR="00101531" w:rsidRPr="00B308B3">
        <w:rPr>
          <w:lang w:val="fr-FR"/>
        </w:rPr>
        <w:t>ce concours était qualifié d</w:t>
      </w:r>
      <w:r w:rsidR="00A14196">
        <w:rPr>
          <w:lang w:val="fr-FR"/>
        </w:rPr>
        <w:t>’</w:t>
      </w:r>
      <w:r w:rsidR="00A05D2C" w:rsidRPr="00B308B3">
        <w:rPr>
          <w:lang w:val="fr-FR"/>
        </w:rPr>
        <w:t xml:space="preserve">« éventuel » ou « externe ». </w:t>
      </w:r>
      <w:r w:rsidRPr="00B308B3">
        <w:rPr>
          <w:lang w:val="fr-FR"/>
        </w:rPr>
        <w:t xml:space="preserve">La condamnation du requérant, </w:t>
      </w:r>
      <w:r w:rsidR="002417CE" w:rsidRPr="00B308B3">
        <w:rPr>
          <w:lang w:val="fr-FR"/>
        </w:rPr>
        <w:t>d</w:t>
      </w:r>
      <w:r w:rsidR="00A14196">
        <w:rPr>
          <w:lang w:val="fr-FR"/>
        </w:rPr>
        <w:t>’</w:t>
      </w:r>
      <w:r w:rsidR="002417CE" w:rsidRPr="00B308B3">
        <w:rPr>
          <w:lang w:val="fr-FR"/>
        </w:rPr>
        <w:t xml:space="preserve">abord </w:t>
      </w:r>
      <w:r w:rsidRPr="00B308B3">
        <w:rPr>
          <w:lang w:val="fr-FR"/>
        </w:rPr>
        <w:t>annulée par un arrêt de</w:t>
      </w:r>
      <w:r>
        <w:rPr>
          <w:lang w:val="fr-FR"/>
        </w:rPr>
        <w:t xml:space="preserve"> la cour d</w:t>
      </w:r>
      <w:r w:rsidR="00A14196">
        <w:rPr>
          <w:lang w:val="fr-FR"/>
        </w:rPr>
        <w:t>’</w:t>
      </w:r>
      <w:r>
        <w:rPr>
          <w:lang w:val="fr-FR"/>
        </w:rPr>
        <w:t xml:space="preserve">appel de Palerme, fut ensuite confirmée par une autre section de celle-ci </w:t>
      </w:r>
      <w:r w:rsidR="002417CE">
        <w:rPr>
          <w:lang w:val="fr-FR"/>
        </w:rPr>
        <w:t xml:space="preserve">et, </w:t>
      </w:r>
      <w:r w:rsidR="00824184">
        <w:rPr>
          <w:lang w:val="fr-FR"/>
        </w:rPr>
        <w:t>de façon</w:t>
      </w:r>
      <w:r w:rsidR="002417CE">
        <w:rPr>
          <w:lang w:val="fr-FR"/>
        </w:rPr>
        <w:t xml:space="preserve"> définitive, par un arrêt</w:t>
      </w:r>
      <w:r>
        <w:rPr>
          <w:lang w:val="fr-FR"/>
        </w:rPr>
        <w:t xml:space="preserve"> de la Cour de cassation.</w:t>
      </w:r>
    </w:p>
    <w:p w:rsidR="00F66B50" w:rsidRPr="00B308B3" w:rsidRDefault="00F66B50" w:rsidP="00F66B50">
      <w:pPr>
        <w:pStyle w:val="ECHRPara"/>
        <w:rPr>
          <w:lang w:val="fr-FR"/>
        </w:rPr>
      </w:pPr>
      <w:r w:rsidRPr="00B308B3">
        <w:rPr>
          <w:lang w:val="fr-FR"/>
        </w:rPr>
        <w:fldChar w:fldCharType="begin"/>
      </w:r>
      <w:r w:rsidRPr="00B308B3">
        <w:rPr>
          <w:lang w:val="fr-FR"/>
        </w:rPr>
        <w:instrText xml:space="preserve"> SEQ level0 \*arabic </w:instrText>
      </w:r>
      <w:r w:rsidRPr="00B308B3">
        <w:rPr>
          <w:lang w:val="fr-FR"/>
        </w:rPr>
        <w:fldChar w:fldCharType="separate"/>
      </w:r>
      <w:r w:rsidR="003B0C14">
        <w:rPr>
          <w:noProof/>
          <w:lang w:val="fr-FR"/>
        </w:rPr>
        <w:t>66</w:t>
      </w:r>
      <w:r w:rsidRPr="00B308B3">
        <w:rPr>
          <w:lang w:val="fr-FR"/>
        </w:rPr>
        <w:fldChar w:fldCharType="end"/>
      </w:r>
      <w:r w:rsidRPr="00B308B3">
        <w:rPr>
          <w:lang w:val="fr-FR"/>
        </w:rPr>
        <w:t>.  </w:t>
      </w:r>
      <w:r w:rsidR="007E6DE7" w:rsidRPr="00B308B3">
        <w:rPr>
          <w:lang w:val="fr-FR"/>
        </w:rPr>
        <w:t>L</w:t>
      </w:r>
      <w:r w:rsidR="008E299F" w:rsidRPr="00B308B3">
        <w:rPr>
          <w:lang w:val="fr-FR"/>
        </w:rPr>
        <w:t xml:space="preserve">a Cour </w:t>
      </w:r>
      <w:r w:rsidR="009C4B1D" w:rsidRPr="00B308B3">
        <w:rPr>
          <w:lang w:val="fr-FR"/>
        </w:rPr>
        <w:t>remarque</w:t>
      </w:r>
      <w:r w:rsidR="008E299F" w:rsidRPr="00B308B3">
        <w:rPr>
          <w:lang w:val="fr-FR"/>
        </w:rPr>
        <w:t xml:space="preserve"> qu</w:t>
      </w:r>
      <w:r w:rsidR="00A14196">
        <w:rPr>
          <w:lang w:val="fr-FR"/>
        </w:rPr>
        <w:t>’</w:t>
      </w:r>
      <w:r w:rsidR="008E299F" w:rsidRPr="00B308B3">
        <w:rPr>
          <w:lang w:val="fr-FR"/>
        </w:rPr>
        <w:t>il n</w:t>
      </w:r>
      <w:r w:rsidR="00A14196">
        <w:rPr>
          <w:lang w:val="fr-FR"/>
        </w:rPr>
        <w:t>’</w:t>
      </w:r>
      <w:r w:rsidR="008E299F" w:rsidRPr="00B308B3">
        <w:rPr>
          <w:lang w:val="fr-FR"/>
        </w:rPr>
        <w:t xml:space="preserve">est pas </w:t>
      </w:r>
      <w:r w:rsidR="00767D5A" w:rsidRPr="00B308B3">
        <w:rPr>
          <w:lang w:val="fr-FR"/>
        </w:rPr>
        <w:t>con</w:t>
      </w:r>
      <w:r w:rsidR="00AB49C7" w:rsidRPr="00B308B3">
        <w:rPr>
          <w:lang w:val="fr-FR"/>
        </w:rPr>
        <w:t>testé</w:t>
      </w:r>
      <w:r w:rsidR="008E299F" w:rsidRPr="00B308B3">
        <w:rPr>
          <w:lang w:val="fr-FR"/>
        </w:rPr>
        <w:t xml:space="preserve"> entre les parties que le concours externe en association </w:t>
      </w:r>
      <w:r w:rsidR="00534D33" w:rsidRPr="00B308B3">
        <w:rPr>
          <w:lang w:val="fr-FR"/>
        </w:rPr>
        <w:t xml:space="preserve">de type mafieux </w:t>
      </w:r>
      <w:r w:rsidR="007E6DE7" w:rsidRPr="00B308B3">
        <w:rPr>
          <w:lang w:val="fr-FR"/>
        </w:rPr>
        <w:t>constitue</w:t>
      </w:r>
      <w:r w:rsidR="008E299F" w:rsidRPr="00B308B3">
        <w:rPr>
          <w:lang w:val="fr-FR"/>
        </w:rPr>
        <w:t xml:space="preserve"> une infraction d</w:t>
      </w:r>
      <w:r w:rsidR="00A14196">
        <w:rPr>
          <w:lang w:val="fr-FR"/>
        </w:rPr>
        <w:t>’</w:t>
      </w:r>
      <w:r w:rsidR="008E299F" w:rsidRPr="00B308B3">
        <w:rPr>
          <w:lang w:val="fr-FR"/>
        </w:rPr>
        <w:t xml:space="preserve">origine jurisprudentielle. Or, </w:t>
      </w:r>
      <w:r w:rsidRPr="00B308B3">
        <w:rPr>
          <w:lang w:val="fr-FR"/>
        </w:rPr>
        <w:t>tel que le tribunal de Palerme l</w:t>
      </w:r>
      <w:r w:rsidR="00A14196">
        <w:rPr>
          <w:lang w:val="fr-FR"/>
        </w:rPr>
        <w:t>’</w:t>
      </w:r>
      <w:r w:rsidRPr="00B308B3">
        <w:rPr>
          <w:lang w:val="fr-FR"/>
        </w:rPr>
        <w:t>a rappelé à juste titre dans son arrêt du 5 avril 1996 (voir le paragraphe 7 ci-dessus), l</w:t>
      </w:r>
      <w:r w:rsidR="00A14196">
        <w:rPr>
          <w:lang w:val="fr-FR"/>
        </w:rPr>
        <w:t>’</w:t>
      </w:r>
      <w:r w:rsidRPr="00B308B3">
        <w:rPr>
          <w:lang w:val="fr-FR"/>
        </w:rPr>
        <w:t>existence de</w:t>
      </w:r>
      <w:r w:rsidR="005470FC" w:rsidRPr="00B308B3">
        <w:rPr>
          <w:lang w:val="fr-FR"/>
        </w:rPr>
        <w:t xml:space="preserve"> telle</w:t>
      </w:r>
      <w:r w:rsidRPr="00B308B3">
        <w:rPr>
          <w:lang w:val="fr-FR"/>
        </w:rPr>
        <w:t xml:space="preserve"> l</w:t>
      </w:r>
      <w:r w:rsidR="00A14196">
        <w:rPr>
          <w:lang w:val="fr-FR"/>
        </w:rPr>
        <w:t>’</w:t>
      </w:r>
      <w:r w:rsidRPr="00B308B3">
        <w:rPr>
          <w:lang w:val="fr-FR"/>
        </w:rPr>
        <w:t xml:space="preserve">infraction </w:t>
      </w:r>
      <w:r w:rsidR="008E299F" w:rsidRPr="00B308B3">
        <w:rPr>
          <w:lang w:val="fr-FR"/>
        </w:rPr>
        <w:t>a fait l</w:t>
      </w:r>
      <w:r w:rsidR="00A14196">
        <w:rPr>
          <w:lang w:val="fr-FR"/>
        </w:rPr>
        <w:t>’</w:t>
      </w:r>
      <w:r w:rsidR="008E299F" w:rsidRPr="00B308B3">
        <w:rPr>
          <w:lang w:val="fr-FR"/>
        </w:rPr>
        <w:t>objet d</w:t>
      </w:r>
      <w:r w:rsidR="00A14196">
        <w:rPr>
          <w:lang w:val="fr-FR"/>
        </w:rPr>
        <w:t>’</w:t>
      </w:r>
      <w:r w:rsidRPr="00B308B3">
        <w:rPr>
          <w:lang w:val="fr-FR"/>
        </w:rPr>
        <w:t xml:space="preserve">approches jurisprudentielles </w:t>
      </w:r>
      <w:r w:rsidR="004633F7" w:rsidRPr="00B308B3">
        <w:rPr>
          <w:lang w:val="fr-FR"/>
        </w:rPr>
        <w:t>divergentes</w:t>
      </w:r>
      <w:r w:rsidRPr="00B308B3">
        <w:rPr>
          <w:lang w:val="fr-FR"/>
        </w:rPr>
        <w:t>.</w:t>
      </w:r>
    </w:p>
    <w:p w:rsidR="00F66B50" w:rsidRDefault="00F66B50" w:rsidP="00F66B50">
      <w:pPr>
        <w:pStyle w:val="ECHRPara"/>
        <w:rPr>
          <w:lang w:val="fr-FR"/>
        </w:rPr>
      </w:pPr>
      <w:r w:rsidRPr="00B308B3">
        <w:rPr>
          <w:lang w:val="fr-FR"/>
        </w:rPr>
        <w:fldChar w:fldCharType="begin"/>
      </w:r>
      <w:r w:rsidRPr="00B308B3">
        <w:rPr>
          <w:lang w:val="fr-FR"/>
        </w:rPr>
        <w:instrText xml:space="preserve"> SEQ level0 \*arabic </w:instrText>
      </w:r>
      <w:r w:rsidRPr="00B308B3">
        <w:rPr>
          <w:lang w:val="fr-FR"/>
        </w:rPr>
        <w:fldChar w:fldCharType="separate"/>
      </w:r>
      <w:r w:rsidR="003B0C14">
        <w:rPr>
          <w:noProof/>
          <w:lang w:val="fr-FR"/>
        </w:rPr>
        <w:t>67</w:t>
      </w:r>
      <w:r w:rsidRPr="00B308B3">
        <w:rPr>
          <w:lang w:val="fr-FR"/>
        </w:rPr>
        <w:fldChar w:fldCharType="end"/>
      </w:r>
      <w:r w:rsidRPr="00B308B3">
        <w:rPr>
          <w:lang w:val="fr-FR"/>
        </w:rPr>
        <w:t>.  L</w:t>
      </w:r>
      <w:r w:rsidR="00A14196">
        <w:rPr>
          <w:lang w:val="fr-FR"/>
        </w:rPr>
        <w:t>’</w:t>
      </w:r>
      <w:r w:rsidRPr="00B308B3">
        <w:rPr>
          <w:lang w:val="fr-FR"/>
        </w:rPr>
        <w:t xml:space="preserve">analyse de la jurisprudence citée par les parties </w:t>
      </w:r>
      <w:r w:rsidR="003E7FD5" w:rsidRPr="00B308B3">
        <w:rPr>
          <w:lang w:val="fr-FR"/>
        </w:rPr>
        <w:t>(</w:t>
      </w:r>
      <w:r w:rsidR="00794A6E" w:rsidRPr="00B308B3">
        <w:rPr>
          <w:lang w:val="fr-FR"/>
        </w:rPr>
        <w:t>voir les paragraphes 26-30 ci-dessus</w:t>
      </w:r>
      <w:r w:rsidR="003E7FD5" w:rsidRPr="00B308B3">
        <w:rPr>
          <w:lang w:val="fr-FR"/>
        </w:rPr>
        <w:t xml:space="preserve">) </w:t>
      </w:r>
      <w:r w:rsidRPr="00B308B3">
        <w:rPr>
          <w:lang w:val="fr-FR"/>
        </w:rPr>
        <w:t>montre que l</w:t>
      </w:r>
      <w:r w:rsidR="003E7FD5" w:rsidRPr="00B308B3">
        <w:rPr>
          <w:lang w:val="fr-FR"/>
        </w:rPr>
        <w:t xml:space="preserve">a Cour de cassation </w:t>
      </w:r>
      <w:r w:rsidR="00DC4B89" w:rsidRPr="00B308B3">
        <w:rPr>
          <w:lang w:val="fr-FR"/>
        </w:rPr>
        <w:t xml:space="preserve">a </w:t>
      </w:r>
      <w:r w:rsidR="003E7FD5" w:rsidRPr="00B308B3">
        <w:rPr>
          <w:lang w:val="fr-FR"/>
        </w:rPr>
        <w:t xml:space="preserve">fait pour la première fois mention de </w:t>
      </w:r>
      <w:r w:rsidRPr="00B308B3">
        <w:rPr>
          <w:lang w:val="fr-FR"/>
        </w:rPr>
        <w:t>l</w:t>
      </w:r>
      <w:r w:rsidR="00A14196">
        <w:rPr>
          <w:lang w:val="fr-FR"/>
        </w:rPr>
        <w:t>’</w:t>
      </w:r>
      <w:r w:rsidRPr="00B308B3">
        <w:rPr>
          <w:lang w:val="fr-FR"/>
        </w:rPr>
        <w:t>infra</w:t>
      </w:r>
      <w:r>
        <w:rPr>
          <w:lang w:val="fr-FR"/>
        </w:rPr>
        <w:t xml:space="preserve">ction de concours externe en association </w:t>
      </w:r>
      <w:r w:rsidR="00534D33">
        <w:rPr>
          <w:lang w:val="fr-FR"/>
        </w:rPr>
        <w:t xml:space="preserve">de type mafieux </w:t>
      </w:r>
      <w:r w:rsidR="003E7FD5">
        <w:rPr>
          <w:lang w:val="fr-FR"/>
        </w:rPr>
        <w:t xml:space="preserve">dans son </w:t>
      </w:r>
      <w:r>
        <w:rPr>
          <w:lang w:val="fr-FR"/>
        </w:rPr>
        <w:t xml:space="preserve">arrêt </w:t>
      </w:r>
      <w:r w:rsidRPr="0025431C">
        <w:rPr>
          <w:i/>
          <w:lang w:val="fr-FR"/>
        </w:rPr>
        <w:t>Cillari</w:t>
      </w:r>
      <w:r>
        <w:rPr>
          <w:i/>
          <w:lang w:val="fr-FR"/>
        </w:rPr>
        <w:t xml:space="preserve">, </w:t>
      </w:r>
      <w:r w:rsidR="006A7809">
        <w:rPr>
          <w:lang w:val="fr-FR"/>
        </w:rPr>
        <w:t>n</w:t>
      </w:r>
      <w:r w:rsidR="00E40263" w:rsidRPr="00E40263">
        <w:rPr>
          <w:vertAlign w:val="superscript"/>
          <w:lang w:val="fr-FR"/>
        </w:rPr>
        <w:t>o</w:t>
      </w:r>
      <w:r w:rsidR="006A7809">
        <w:rPr>
          <w:lang w:val="fr-FR"/>
        </w:rPr>
        <w:t xml:space="preserve"> 8092</w:t>
      </w:r>
      <w:r w:rsidR="003E7FD5">
        <w:rPr>
          <w:lang w:val="fr-FR"/>
        </w:rPr>
        <w:t xml:space="preserve"> du 14 juillet 1987. </w:t>
      </w:r>
      <w:r w:rsidR="00DC4B89">
        <w:rPr>
          <w:lang w:val="fr-FR"/>
        </w:rPr>
        <w:t>En l</w:t>
      </w:r>
      <w:r w:rsidR="00A14196">
        <w:rPr>
          <w:lang w:val="fr-FR"/>
        </w:rPr>
        <w:t>’</w:t>
      </w:r>
      <w:r w:rsidR="00DC4B89">
        <w:rPr>
          <w:lang w:val="fr-FR"/>
        </w:rPr>
        <w:t>espèce, l</w:t>
      </w:r>
      <w:r w:rsidR="003E7FD5">
        <w:rPr>
          <w:lang w:val="fr-FR"/>
        </w:rPr>
        <w:t>a Cour</w:t>
      </w:r>
      <w:r w:rsidR="005753A8">
        <w:rPr>
          <w:lang w:val="fr-FR"/>
        </w:rPr>
        <w:t xml:space="preserve"> de cassation</w:t>
      </w:r>
      <w:r w:rsidR="003E7FD5">
        <w:rPr>
          <w:lang w:val="fr-FR"/>
        </w:rPr>
        <w:t xml:space="preserve"> </w:t>
      </w:r>
      <w:r w:rsidR="00442423">
        <w:rPr>
          <w:lang w:val="fr-FR"/>
        </w:rPr>
        <w:t>réfuta</w:t>
      </w:r>
      <w:r>
        <w:rPr>
          <w:lang w:val="fr-FR"/>
        </w:rPr>
        <w:t xml:space="preserve"> l</w:t>
      </w:r>
      <w:r w:rsidR="00A14196">
        <w:rPr>
          <w:lang w:val="fr-FR"/>
        </w:rPr>
        <w:t>’</w:t>
      </w:r>
      <w:r>
        <w:rPr>
          <w:lang w:val="fr-FR"/>
        </w:rPr>
        <w:t>ex</w:t>
      </w:r>
      <w:r w:rsidR="003E7FD5">
        <w:rPr>
          <w:lang w:val="fr-FR"/>
        </w:rPr>
        <w:t>istence d</w:t>
      </w:r>
      <w:r w:rsidR="00A14196">
        <w:rPr>
          <w:lang w:val="fr-FR"/>
        </w:rPr>
        <w:t>’</w:t>
      </w:r>
      <w:r w:rsidR="003E7FD5">
        <w:rPr>
          <w:lang w:val="fr-FR"/>
        </w:rPr>
        <w:t>une telle infraction et réitéra cette position dans d</w:t>
      </w:r>
      <w:r w:rsidR="00A14196">
        <w:rPr>
          <w:lang w:val="fr-FR"/>
        </w:rPr>
        <w:t>’</w:t>
      </w:r>
      <w:r w:rsidR="003E7FD5">
        <w:rPr>
          <w:lang w:val="fr-FR"/>
        </w:rPr>
        <w:t xml:space="preserve">autres </w:t>
      </w:r>
      <w:r>
        <w:rPr>
          <w:lang w:val="fr-FR"/>
        </w:rPr>
        <w:t>arrêts qui suivirent</w:t>
      </w:r>
      <w:r w:rsidR="003E7FD5">
        <w:rPr>
          <w:lang w:val="fr-FR"/>
        </w:rPr>
        <w:t>, notamment</w:t>
      </w:r>
      <w:r>
        <w:rPr>
          <w:lang w:val="fr-FR"/>
        </w:rPr>
        <w:t xml:space="preserve"> </w:t>
      </w:r>
      <w:r w:rsidRPr="00AC2BCB">
        <w:rPr>
          <w:i/>
          <w:lang w:val="fr-FR"/>
        </w:rPr>
        <w:t>Agostani</w:t>
      </w:r>
      <w:r w:rsidR="006A7809">
        <w:rPr>
          <w:lang w:val="fr-FR"/>
        </w:rPr>
        <w:t>, n</w:t>
      </w:r>
      <w:r w:rsidR="00E40263" w:rsidRPr="00E40263">
        <w:rPr>
          <w:vertAlign w:val="superscript"/>
          <w:lang w:val="fr-FR"/>
        </w:rPr>
        <w:t>o</w:t>
      </w:r>
      <w:r w:rsidR="006A7809">
        <w:rPr>
          <w:lang w:val="fr-FR"/>
        </w:rPr>
        <w:t> 8864</w:t>
      </w:r>
      <w:r>
        <w:rPr>
          <w:lang w:val="fr-FR"/>
        </w:rPr>
        <w:t xml:space="preserve"> du 27 juin 1989 et </w:t>
      </w:r>
      <w:r w:rsidRPr="009443E1">
        <w:rPr>
          <w:i/>
          <w:lang w:val="fr-FR"/>
        </w:rPr>
        <w:t>Abbate</w:t>
      </w:r>
      <w:r>
        <w:rPr>
          <w:lang w:val="fr-FR"/>
        </w:rPr>
        <w:t xml:space="preserve"> et </w:t>
      </w:r>
      <w:r w:rsidRPr="009443E1">
        <w:rPr>
          <w:i/>
          <w:lang w:val="fr-FR"/>
        </w:rPr>
        <w:t>Clementi</w:t>
      </w:r>
      <w:r>
        <w:rPr>
          <w:lang w:val="fr-FR"/>
        </w:rPr>
        <w:t>, n</w:t>
      </w:r>
      <w:r w:rsidR="00E40263" w:rsidRPr="00E40263">
        <w:rPr>
          <w:vertAlign w:val="superscript"/>
          <w:lang w:val="fr-FR"/>
        </w:rPr>
        <w:t>o</w:t>
      </w:r>
      <w:r w:rsidRPr="009443E1">
        <w:rPr>
          <w:vertAlign w:val="superscript"/>
          <w:lang w:val="fr-FR"/>
        </w:rPr>
        <w:t>s</w:t>
      </w:r>
      <w:r>
        <w:rPr>
          <w:lang w:val="fr-FR"/>
        </w:rPr>
        <w:t xml:space="preserve"> 2342 et 2348 du 27 juin 1994.</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68</w:t>
      </w:r>
      <w:r>
        <w:rPr>
          <w:lang w:val="fr-FR"/>
        </w:rPr>
        <w:fldChar w:fldCharType="end"/>
      </w:r>
      <w:r>
        <w:rPr>
          <w:lang w:val="fr-FR"/>
        </w:rPr>
        <w:t>.  Entre-temps, dans d</w:t>
      </w:r>
      <w:r w:rsidR="00A14196">
        <w:rPr>
          <w:lang w:val="fr-FR"/>
        </w:rPr>
        <w:t>’</w:t>
      </w:r>
      <w:r>
        <w:rPr>
          <w:lang w:val="fr-FR"/>
        </w:rPr>
        <w:t xml:space="preserve">autres </w:t>
      </w:r>
      <w:r w:rsidR="00661E2F">
        <w:rPr>
          <w:lang w:val="fr-FR"/>
        </w:rPr>
        <w:t>affaires</w:t>
      </w:r>
      <w:r>
        <w:rPr>
          <w:lang w:val="fr-FR"/>
        </w:rPr>
        <w:t>, la Cour de cassation reconnut l</w:t>
      </w:r>
      <w:r w:rsidR="00A14196">
        <w:rPr>
          <w:lang w:val="fr-FR"/>
        </w:rPr>
        <w:t>’</w:t>
      </w:r>
      <w:r>
        <w:rPr>
          <w:lang w:val="fr-FR"/>
        </w:rPr>
        <w:t>existence d</w:t>
      </w:r>
      <w:r w:rsidR="00775D49">
        <w:rPr>
          <w:lang w:val="fr-FR"/>
        </w:rPr>
        <w:t>e l</w:t>
      </w:r>
      <w:r w:rsidR="00A14196">
        <w:rPr>
          <w:lang w:val="fr-FR"/>
        </w:rPr>
        <w:t>’</w:t>
      </w:r>
      <w:r w:rsidR="00775D49">
        <w:rPr>
          <w:lang w:val="fr-FR"/>
        </w:rPr>
        <w:t xml:space="preserve">infraction de </w:t>
      </w:r>
      <w:r>
        <w:rPr>
          <w:lang w:val="fr-FR"/>
        </w:rPr>
        <w:t xml:space="preserve">concours éventuel en association </w:t>
      </w:r>
      <w:r w:rsidR="00534D33">
        <w:rPr>
          <w:lang w:val="fr-FR"/>
        </w:rPr>
        <w:t xml:space="preserve">de type mafieux </w:t>
      </w:r>
      <w:r>
        <w:rPr>
          <w:lang w:val="fr-FR"/>
        </w:rPr>
        <w:t>(voir l</w:t>
      </w:r>
      <w:r w:rsidR="00A14196">
        <w:rPr>
          <w:lang w:val="fr-FR"/>
        </w:rPr>
        <w:t>’</w:t>
      </w:r>
      <w:r>
        <w:rPr>
          <w:lang w:val="fr-FR"/>
        </w:rPr>
        <w:t xml:space="preserve">arrêt </w:t>
      </w:r>
      <w:r w:rsidRPr="00B32A4E">
        <w:rPr>
          <w:i/>
          <w:lang w:val="fr-FR"/>
        </w:rPr>
        <w:t>Altivalle</w:t>
      </w:r>
      <w:r>
        <w:rPr>
          <w:lang w:val="fr-FR"/>
        </w:rPr>
        <w:t>, n</w:t>
      </w:r>
      <w:r w:rsidR="00E40263" w:rsidRPr="00E40263">
        <w:rPr>
          <w:vertAlign w:val="superscript"/>
          <w:lang w:val="fr-FR"/>
        </w:rPr>
        <w:t>o</w:t>
      </w:r>
      <w:r>
        <w:rPr>
          <w:lang w:val="fr-FR"/>
        </w:rPr>
        <w:t xml:space="preserve"> 3492, du 13 juin 1987</w:t>
      </w:r>
      <w:r w:rsidR="00775D49">
        <w:rPr>
          <w:lang w:val="fr-FR"/>
        </w:rPr>
        <w:t xml:space="preserve"> </w:t>
      </w:r>
      <w:r>
        <w:rPr>
          <w:lang w:val="fr-FR"/>
        </w:rPr>
        <w:t xml:space="preserve">et, ensuite, </w:t>
      </w:r>
      <w:r w:rsidRPr="001C30AE">
        <w:rPr>
          <w:i/>
          <w:lang w:val="fr-FR"/>
        </w:rPr>
        <w:t>Altomonte</w:t>
      </w:r>
      <w:r>
        <w:rPr>
          <w:i/>
          <w:lang w:val="fr-FR"/>
        </w:rPr>
        <w:t>,</w:t>
      </w:r>
      <w:r>
        <w:rPr>
          <w:lang w:val="fr-FR"/>
        </w:rPr>
        <w:t xml:space="preserve"> n</w:t>
      </w:r>
      <w:r w:rsidR="00E40263" w:rsidRPr="00E40263">
        <w:rPr>
          <w:vertAlign w:val="superscript"/>
          <w:lang w:val="fr-FR"/>
        </w:rPr>
        <w:t>o</w:t>
      </w:r>
      <w:r>
        <w:rPr>
          <w:lang w:val="fr-FR"/>
        </w:rPr>
        <w:t xml:space="preserve"> 4805 du 23 novembre 1992, </w:t>
      </w:r>
      <w:r w:rsidRPr="001C767B">
        <w:rPr>
          <w:i/>
          <w:lang w:val="fr-FR"/>
        </w:rPr>
        <w:t>Turiano</w:t>
      </w:r>
      <w:r w:rsidR="00775D49">
        <w:rPr>
          <w:lang w:val="fr-FR"/>
        </w:rPr>
        <w:t>, n</w:t>
      </w:r>
      <w:r w:rsidR="00E40263" w:rsidRPr="00E40263">
        <w:rPr>
          <w:vertAlign w:val="superscript"/>
          <w:lang w:val="fr-FR"/>
        </w:rPr>
        <w:t>o</w:t>
      </w:r>
      <w:r w:rsidR="00775D49">
        <w:rPr>
          <w:lang w:val="fr-FR"/>
        </w:rPr>
        <w:t xml:space="preserve"> 2</w:t>
      </w:r>
      <w:r w:rsidR="000C3C88">
        <w:rPr>
          <w:lang w:val="fr-FR"/>
        </w:rPr>
        <w:t>9</w:t>
      </w:r>
      <w:r>
        <w:rPr>
          <w:lang w:val="fr-FR"/>
        </w:rPr>
        <w:t xml:space="preserve">02 du 18 juin 1993 et </w:t>
      </w:r>
      <w:r>
        <w:rPr>
          <w:i/>
          <w:lang w:val="fr-FR"/>
        </w:rPr>
        <w:t>Di Corrado</w:t>
      </w:r>
      <w:r w:rsidR="006A7809">
        <w:rPr>
          <w:lang w:val="fr-FR"/>
        </w:rPr>
        <w:t>,</w:t>
      </w:r>
      <w:r>
        <w:rPr>
          <w:lang w:val="fr-FR"/>
        </w:rPr>
        <w:t xml:space="preserve"> du 31 août 1993).</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69</w:t>
      </w:r>
      <w:r>
        <w:rPr>
          <w:lang w:val="fr-FR"/>
        </w:rPr>
        <w:fldChar w:fldCharType="end"/>
      </w:r>
      <w:r>
        <w:rPr>
          <w:lang w:val="fr-FR"/>
        </w:rPr>
        <w:t>.  </w:t>
      </w:r>
      <w:r w:rsidR="00661E2F">
        <w:rPr>
          <w:lang w:val="fr-FR"/>
        </w:rPr>
        <w:t>C</w:t>
      </w:r>
      <w:r>
        <w:rPr>
          <w:lang w:val="fr-FR"/>
        </w:rPr>
        <w:t>e n</w:t>
      </w:r>
      <w:r w:rsidR="00A14196">
        <w:rPr>
          <w:lang w:val="fr-FR"/>
        </w:rPr>
        <w:t>’</w:t>
      </w:r>
      <w:r>
        <w:rPr>
          <w:lang w:val="fr-FR"/>
        </w:rPr>
        <w:t xml:space="preserve">est </w:t>
      </w:r>
      <w:r w:rsidR="009D75B8">
        <w:rPr>
          <w:lang w:val="fr-FR"/>
        </w:rPr>
        <w:t xml:space="preserve">toutefois </w:t>
      </w:r>
      <w:r>
        <w:rPr>
          <w:lang w:val="fr-FR"/>
        </w:rPr>
        <w:t>que dans l</w:t>
      </w:r>
      <w:r w:rsidR="00A14196">
        <w:rPr>
          <w:lang w:val="fr-FR"/>
        </w:rPr>
        <w:t>’</w:t>
      </w:r>
      <w:r>
        <w:rPr>
          <w:lang w:val="fr-FR"/>
        </w:rPr>
        <w:t xml:space="preserve">arrêt </w:t>
      </w:r>
      <w:r w:rsidRPr="009C4FD5">
        <w:rPr>
          <w:i/>
          <w:lang w:val="fr-FR"/>
        </w:rPr>
        <w:t>Demitry</w:t>
      </w:r>
      <w:r w:rsidR="00015696">
        <w:rPr>
          <w:lang w:val="fr-FR"/>
        </w:rPr>
        <w:t>, prononcé par</w:t>
      </w:r>
      <w:r>
        <w:rPr>
          <w:lang w:val="fr-FR"/>
        </w:rPr>
        <w:t xml:space="preserve"> la Cour de cassation </w:t>
      </w:r>
      <w:r w:rsidR="00015696">
        <w:rPr>
          <w:lang w:val="fr-FR"/>
        </w:rPr>
        <w:t xml:space="preserve">en formation plénière </w:t>
      </w:r>
      <w:r>
        <w:rPr>
          <w:lang w:val="fr-FR"/>
        </w:rPr>
        <w:t xml:space="preserve">le 5 octobre 1994, que celle-ci fournit pour la première fois une élaboration de la matière </w:t>
      </w:r>
      <w:r w:rsidR="00C842DF">
        <w:rPr>
          <w:lang w:val="fr-FR"/>
        </w:rPr>
        <w:t>litigieuse</w:t>
      </w:r>
      <w:r>
        <w:rPr>
          <w:lang w:val="fr-FR"/>
        </w:rPr>
        <w:t>, faisant état des orientations niant et de celles reconnaissant l</w:t>
      </w:r>
      <w:r w:rsidR="00A14196">
        <w:rPr>
          <w:lang w:val="fr-FR"/>
        </w:rPr>
        <w:t>’</w:t>
      </w:r>
      <w:r>
        <w:rPr>
          <w:lang w:val="fr-FR"/>
        </w:rPr>
        <w:t>existence de l</w:t>
      </w:r>
      <w:r w:rsidR="00A14196">
        <w:rPr>
          <w:lang w:val="fr-FR"/>
        </w:rPr>
        <w:t>’</w:t>
      </w:r>
      <w:r>
        <w:rPr>
          <w:lang w:val="fr-FR"/>
        </w:rPr>
        <w:t>infraction litigieuse et</w:t>
      </w:r>
      <w:r w:rsidR="00D06BF3">
        <w:rPr>
          <w:lang w:val="fr-FR"/>
        </w:rPr>
        <w:t>, dans l</w:t>
      </w:r>
      <w:r w:rsidR="00A14196">
        <w:rPr>
          <w:lang w:val="fr-FR"/>
        </w:rPr>
        <w:t>’</w:t>
      </w:r>
      <w:r w:rsidR="00D06BF3">
        <w:rPr>
          <w:lang w:val="fr-FR"/>
        </w:rPr>
        <w:t>esprit de mettre fin aux conflits de jurisprudence en la matière,</w:t>
      </w:r>
      <w:r>
        <w:rPr>
          <w:lang w:val="fr-FR"/>
        </w:rPr>
        <w:t xml:space="preserve"> adm</w:t>
      </w:r>
      <w:r w:rsidR="00015696">
        <w:rPr>
          <w:lang w:val="fr-FR"/>
        </w:rPr>
        <w:t>i</w:t>
      </w:r>
      <w:r>
        <w:rPr>
          <w:lang w:val="fr-FR"/>
        </w:rPr>
        <w:t>t</w:t>
      </w:r>
      <w:r w:rsidR="00CB41DD">
        <w:rPr>
          <w:lang w:val="fr-FR"/>
        </w:rPr>
        <w:t xml:space="preserve"> finalement de manière explicite</w:t>
      </w:r>
      <w:r>
        <w:rPr>
          <w:lang w:val="fr-FR"/>
        </w:rPr>
        <w:t xml:space="preserve"> l</w:t>
      </w:r>
      <w:r w:rsidR="00A14196">
        <w:rPr>
          <w:lang w:val="fr-FR"/>
        </w:rPr>
        <w:t>’</w:t>
      </w:r>
      <w:r>
        <w:rPr>
          <w:lang w:val="fr-FR"/>
        </w:rPr>
        <w:t>existence de l</w:t>
      </w:r>
      <w:r w:rsidR="00A14196">
        <w:rPr>
          <w:lang w:val="fr-FR"/>
        </w:rPr>
        <w:t>’</w:t>
      </w:r>
      <w:r>
        <w:rPr>
          <w:lang w:val="fr-FR"/>
        </w:rPr>
        <w:t xml:space="preserve">infraction de concours externe en association </w:t>
      </w:r>
      <w:r w:rsidR="00534D33">
        <w:rPr>
          <w:lang w:val="fr-FR"/>
        </w:rPr>
        <w:t xml:space="preserve">de type mafieux </w:t>
      </w:r>
      <w:r>
        <w:rPr>
          <w:lang w:val="fr-FR"/>
        </w:rPr>
        <w:t>dans l</w:t>
      </w:r>
      <w:r w:rsidR="00A14196">
        <w:rPr>
          <w:lang w:val="fr-FR"/>
        </w:rPr>
        <w:t>’</w:t>
      </w:r>
      <w:r>
        <w:rPr>
          <w:lang w:val="fr-FR"/>
        </w:rPr>
        <w:t>ordre juridique interne.</w:t>
      </w:r>
    </w:p>
    <w:p w:rsidR="00F66B50" w:rsidRPr="00B308B3"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70</w:t>
      </w:r>
      <w:r>
        <w:rPr>
          <w:lang w:val="fr-FR"/>
        </w:rPr>
        <w:fldChar w:fldCharType="end"/>
      </w:r>
      <w:r>
        <w:rPr>
          <w:lang w:val="fr-FR"/>
        </w:rPr>
        <w:t>.  </w:t>
      </w:r>
      <w:r w:rsidRPr="00B308B3">
        <w:rPr>
          <w:lang w:val="fr-FR"/>
        </w:rPr>
        <w:t>Dans ce contexte, l</w:t>
      </w:r>
      <w:r w:rsidR="00A14196">
        <w:rPr>
          <w:lang w:val="fr-FR"/>
        </w:rPr>
        <w:t>’</w:t>
      </w:r>
      <w:r w:rsidRPr="00B308B3">
        <w:rPr>
          <w:lang w:val="fr-FR"/>
        </w:rPr>
        <w:t>argument du Gouvernement selon lequel, à l</w:t>
      </w:r>
      <w:r w:rsidR="00A14196">
        <w:rPr>
          <w:lang w:val="fr-FR"/>
        </w:rPr>
        <w:t>’</w:t>
      </w:r>
      <w:r w:rsidRPr="00B308B3">
        <w:rPr>
          <w:lang w:val="fr-FR"/>
        </w:rPr>
        <w:t>époque de la commission des faits</w:t>
      </w:r>
      <w:r w:rsidR="007A0E55" w:rsidRPr="00B308B3">
        <w:rPr>
          <w:lang w:val="fr-FR"/>
        </w:rPr>
        <w:t xml:space="preserve"> (1979-1988)</w:t>
      </w:r>
      <w:r w:rsidRPr="00B308B3">
        <w:rPr>
          <w:lang w:val="fr-FR"/>
        </w:rPr>
        <w:t>, la jurispr</w:t>
      </w:r>
      <w:r w:rsidR="00954C3D" w:rsidRPr="00B308B3">
        <w:rPr>
          <w:lang w:val="fr-FR"/>
        </w:rPr>
        <w:t>udence interne en la matière n</w:t>
      </w:r>
      <w:r w:rsidR="00A14196">
        <w:rPr>
          <w:lang w:val="fr-FR"/>
        </w:rPr>
        <w:t>’</w:t>
      </w:r>
      <w:r w:rsidR="00954C3D" w:rsidRPr="00B308B3">
        <w:rPr>
          <w:lang w:val="fr-FR"/>
        </w:rPr>
        <w:t xml:space="preserve">était </w:t>
      </w:r>
      <w:r w:rsidRPr="00B308B3">
        <w:rPr>
          <w:lang w:val="fr-FR"/>
        </w:rPr>
        <w:t xml:space="preserve">aucunement contradictoire ne saurait être </w:t>
      </w:r>
      <w:r w:rsidR="003A0E74" w:rsidRPr="00B308B3">
        <w:rPr>
          <w:lang w:val="fr-FR"/>
        </w:rPr>
        <w:t>accueilli</w:t>
      </w:r>
      <w:r w:rsidRPr="00B308B3">
        <w:rPr>
          <w:lang w:val="fr-FR"/>
        </w:rPr>
        <w:t>.</w:t>
      </w:r>
    </w:p>
    <w:p w:rsidR="003F1F7B" w:rsidRDefault="00967CD2" w:rsidP="003F1F7B">
      <w:pPr>
        <w:ind w:firstLine="284"/>
        <w:rPr>
          <w:rFonts w:ascii="Times New Roman" w:hAnsi="Times New Roman"/>
          <w:szCs w:val="24"/>
          <w:lang w:val="fr-FR"/>
        </w:rPr>
      </w:pPr>
      <w:r>
        <w:rPr>
          <w:rFonts w:ascii="Times New Roman" w:hAnsi="Times New Roman"/>
          <w:szCs w:val="24"/>
          <w:lang w:val="fr-FR"/>
        </w:rPr>
        <w:fldChar w:fldCharType="begin"/>
      </w:r>
      <w:r>
        <w:rPr>
          <w:rFonts w:ascii="Times New Roman" w:hAnsi="Times New Roman"/>
          <w:szCs w:val="24"/>
          <w:lang w:val="fr-FR"/>
        </w:rPr>
        <w:instrText xml:space="preserve"> SEQ level0 \*arabic </w:instrText>
      </w:r>
      <w:r>
        <w:rPr>
          <w:rFonts w:ascii="Times New Roman" w:hAnsi="Times New Roman"/>
          <w:szCs w:val="24"/>
          <w:lang w:val="fr-FR"/>
        </w:rPr>
        <w:fldChar w:fldCharType="separate"/>
      </w:r>
      <w:r w:rsidR="003B0C14">
        <w:rPr>
          <w:rFonts w:ascii="Times New Roman" w:hAnsi="Times New Roman"/>
          <w:noProof/>
          <w:szCs w:val="24"/>
          <w:lang w:val="fr-FR"/>
        </w:rPr>
        <w:t>71</w:t>
      </w:r>
      <w:r>
        <w:rPr>
          <w:rFonts w:ascii="Times New Roman" w:hAnsi="Times New Roman"/>
          <w:szCs w:val="24"/>
          <w:lang w:val="fr-FR"/>
        </w:rPr>
        <w:fldChar w:fldCharType="end"/>
      </w:r>
      <w:r>
        <w:rPr>
          <w:rFonts w:ascii="Times New Roman" w:hAnsi="Times New Roman"/>
          <w:szCs w:val="24"/>
          <w:lang w:val="fr-FR"/>
        </w:rPr>
        <w:t>.  </w:t>
      </w:r>
      <w:r w:rsidR="003F1F7B" w:rsidRPr="003F1F7B">
        <w:rPr>
          <w:rFonts w:ascii="Times New Roman" w:hAnsi="Times New Roman"/>
          <w:szCs w:val="24"/>
          <w:lang w:val="fr-FR"/>
        </w:rPr>
        <w:t>En outre, la Cour considère que la référence du Gouvernement à la jurisprudence en matière de concours externe</w:t>
      </w:r>
      <w:r w:rsidR="006628ED">
        <w:rPr>
          <w:rFonts w:ascii="Times New Roman" w:hAnsi="Times New Roman"/>
          <w:szCs w:val="24"/>
          <w:lang w:val="fr-FR"/>
        </w:rPr>
        <w:t>, qui s</w:t>
      </w:r>
      <w:r w:rsidR="00A14196">
        <w:rPr>
          <w:rFonts w:ascii="Times New Roman" w:hAnsi="Times New Roman"/>
          <w:szCs w:val="24"/>
          <w:lang w:val="fr-FR"/>
        </w:rPr>
        <w:t>’</w:t>
      </w:r>
      <w:r w:rsidR="006628ED">
        <w:rPr>
          <w:rFonts w:ascii="Times New Roman" w:hAnsi="Times New Roman"/>
          <w:szCs w:val="24"/>
          <w:lang w:val="fr-FR"/>
        </w:rPr>
        <w:t>est</w:t>
      </w:r>
      <w:r w:rsidR="003F1F7B" w:rsidRPr="003F1F7B">
        <w:rPr>
          <w:rFonts w:ascii="Times New Roman" w:hAnsi="Times New Roman"/>
          <w:szCs w:val="24"/>
          <w:lang w:val="fr-FR"/>
        </w:rPr>
        <w:t xml:space="preserve"> développée à partir </w:t>
      </w:r>
      <w:r w:rsidR="003F1F7B" w:rsidRPr="003F1F7B">
        <w:rPr>
          <w:rFonts w:ascii="Times New Roman" w:hAnsi="Times New Roman"/>
          <w:szCs w:val="24"/>
          <w:lang w:val="fr-FR"/>
        </w:rPr>
        <w:lastRenderedPageBreak/>
        <w:t>de la fin des années soixante du siècle dernier, c</w:t>
      </w:r>
      <w:r w:rsidR="00A14196">
        <w:rPr>
          <w:rFonts w:ascii="Times New Roman" w:hAnsi="Times New Roman"/>
          <w:szCs w:val="24"/>
          <w:lang w:val="fr-FR"/>
        </w:rPr>
        <w:t>’</w:t>
      </w:r>
      <w:r w:rsidR="003F1F7B" w:rsidRPr="003F1F7B">
        <w:rPr>
          <w:rFonts w:ascii="Times New Roman" w:hAnsi="Times New Roman"/>
          <w:szCs w:val="24"/>
          <w:lang w:val="fr-FR"/>
        </w:rPr>
        <w:t>est-à-dire, avant les faits reprochés au requérant (voir le paragraphe 50 ci-dessus), n</w:t>
      </w:r>
      <w:r w:rsidR="00A14196">
        <w:rPr>
          <w:rFonts w:ascii="Times New Roman" w:hAnsi="Times New Roman"/>
          <w:szCs w:val="24"/>
          <w:lang w:val="fr-FR"/>
        </w:rPr>
        <w:t>’</w:t>
      </w:r>
      <w:r w:rsidR="003F1F7B" w:rsidRPr="003F1F7B">
        <w:rPr>
          <w:rFonts w:ascii="Times New Roman" w:hAnsi="Times New Roman"/>
          <w:szCs w:val="24"/>
          <w:lang w:val="fr-FR"/>
        </w:rPr>
        <w:t>enlève rien à ce constat. Les affaires mentionnées par le gouvernement défendeur portent certes sur le développement jurisprudentiel de la notion de « concours externe ». Néanmoins, les cas d</w:t>
      </w:r>
      <w:r w:rsidR="00A14196">
        <w:rPr>
          <w:rFonts w:ascii="Times New Roman" w:hAnsi="Times New Roman"/>
          <w:szCs w:val="24"/>
          <w:lang w:val="fr-FR"/>
        </w:rPr>
        <w:t>’</w:t>
      </w:r>
      <w:r w:rsidR="003F1F7B" w:rsidRPr="003F1F7B">
        <w:rPr>
          <w:rFonts w:ascii="Times New Roman" w:hAnsi="Times New Roman"/>
          <w:szCs w:val="24"/>
          <w:lang w:val="fr-FR"/>
        </w:rPr>
        <w:t>espèce mis en avant ne concernent pas l</w:t>
      </w:r>
      <w:r w:rsidR="00A14196">
        <w:rPr>
          <w:rFonts w:ascii="Times New Roman" w:hAnsi="Times New Roman"/>
          <w:szCs w:val="24"/>
          <w:lang w:val="fr-FR"/>
        </w:rPr>
        <w:t>’</w:t>
      </w:r>
      <w:r w:rsidR="003F1F7B" w:rsidRPr="003F1F7B">
        <w:rPr>
          <w:rFonts w:ascii="Times New Roman" w:hAnsi="Times New Roman"/>
          <w:szCs w:val="24"/>
          <w:lang w:val="fr-FR"/>
        </w:rPr>
        <w:t>infraction de concours externe en association de type mafieux, faisant l</w:t>
      </w:r>
      <w:r w:rsidR="00A14196">
        <w:rPr>
          <w:rFonts w:ascii="Times New Roman" w:hAnsi="Times New Roman"/>
          <w:szCs w:val="24"/>
          <w:lang w:val="fr-FR"/>
        </w:rPr>
        <w:t>’</w:t>
      </w:r>
      <w:r w:rsidR="003F1F7B" w:rsidRPr="003F1F7B">
        <w:rPr>
          <w:rFonts w:ascii="Times New Roman" w:hAnsi="Times New Roman"/>
          <w:szCs w:val="24"/>
          <w:lang w:val="fr-FR"/>
        </w:rPr>
        <w:t>objet de la présente requête, mais des infractions différentes, à sa</w:t>
      </w:r>
      <w:r w:rsidR="00EB15E1">
        <w:rPr>
          <w:rFonts w:ascii="Times New Roman" w:hAnsi="Times New Roman"/>
          <w:szCs w:val="24"/>
          <w:lang w:val="fr-FR"/>
        </w:rPr>
        <w:t xml:space="preserve">voir la conspiration politique </w:t>
      </w:r>
      <w:r w:rsidR="003F1F7B" w:rsidRPr="003F1F7B">
        <w:rPr>
          <w:rFonts w:ascii="Times New Roman" w:hAnsi="Times New Roman"/>
          <w:szCs w:val="24"/>
          <w:lang w:val="fr-FR"/>
        </w:rPr>
        <w:t>par la constitution d</w:t>
      </w:r>
      <w:r w:rsidR="00A14196">
        <w:rPr>
          <w:rFonts w:ascii="Times New Roman" w:hAnsi="Times New Roman"/>
          <w:szCs w:val="24"/>
          <w:lang w:val="fr-FR"/>
        </w:rPr>
        <w:t>’</w:t>
      </w:r>
      <w:r w:rsidR="003F1F7B" w:rsidRPr="003F1F7B">
        <w:rPr>
          <w:rFonts w:ascii="Times New Roman" w:hAnsi="Times New Roman"/>
          <w:szCs w:val="24"/>
          <w:lang w:val="fr-FR"/>
        </w:rPr>
        <w:t>une association et les actes de terrorisme. On ne saurait donc déduire du dévelop</w:t>
      </w:r>
      <w:r w:rsidR="00EB15E1">
        <w:rPr>
          <w:rFonts w:ascii="Times New Roman" w:hAnsi="Times New Roman"/>
          <w:szCs w:val="24"/>
          <w:lang w:val="fr-FR"/>
        </w:rPr>
        <w:t xml:space="preserve">pement jurisprudentiel invoqué </w:t>
      </w:r>
      <w:r w:rsidR="003F1F7B" w:rsidRPr="003F1F7B">
        <w:rPr>
          <w:rFonts w:ascii="Times New Roman" w:hAnsi="Times New Roman"/>
          <w:szCs w:val="24"/>
          <w:lang w:val="fr-FR"/>
        </w:rPr>
        <w:t>l</w:t>
      </w:r>
      <w:r w:rsidR="00A14196">
        <w:rPr>
          <w:rFonts w:ascii="Times New Roman" w:hAnsi="Times New Roman"/>
          <w:szCs w:val="24"/>
          <w:lang w:val="fr-FR"/>
        </w:rPr>
        <w:t>’</w:t>
      </w:r>
      <w:r w:rsidR="003F1F7B" w:rsidRPr="003F1F7B">
        <w:rPr>
          <w:rFonts w:ascii="Times New Roman" w:hAnsi="Times New Roman"/>
          <w:szCs w:val="24"/>
          <w:lang w:val="fr-FR"/>
        </w:rPr>
        <w:t>existence en droit interne de l</w:t>
      </w:r>
      <w:r w:rsidR="00A14196">
        <w:rPr>
          <w:rFonts w:ascii="Times New Roman" w:hAnsi="Times New Roman"/>
          <w:szCs w:val="24"/>
          <w:lang w:val="fr-FR"/>
        </w:rPr>
        <w:t>’</w:t>
      </w:r>
      <w:r w:rsidR="003F1F7B" w:rsidRPr="003F1F7B">
        <w:rPr>
          <w:rFonts w:ascii="Times New Roman" w:hAnsi="Times New Roman"/>
          <w:szCs w:val="24"/>
          <w:lang w:val="fr-FR"/>
        </w:rPr>
        <w:t>infraction de concours externe dans le cadre de l</w:t>
      </w:r>
      <w:r w:rsidR="00A14196">
        <w:rPr>
          <w:rFonts w:ascii="Times New Roman" w:hAnsi="Times New Roman"/>
          <w:szCs w:val="24"/>
          <w:lang w:val="fr-FR"/>
        </w:rPr>
        <w:t>’</w:t>
      </w:r>
      <w:r w:rsidR="003F1F7B" w:rsidRPr="003F1F7B">
        <w:rPr>
          <w:rFonts w:ascii="Times New Roman" w:hAnsi="Times New Roman"/>
          <w:szCs w:val="24"/>
          <w:lang w:val="fr-FR"/>
        </w:rPr>
        <w:t>association de type mafieux, qui diffère en sa substance même des cas d</w:t>
      </w:r>
      <w:r w:rsidR="00A14196">
        <w:rPr>
          <w:rFonts w:ascii="Times New Roman" w:hAnsi="Times New Roman"/>
          <w:szCs w:val="24"/>
          <w:lang w:val="fr-FR"/>
        </w:rPr>
        <w:t>’</w:t>
      </w:r>
      <w:r w:rsidR="003F1F7B" w:rsidRPr="003F1F7B">
        <w:rPr>
          <w:rFonts w:ascii="Times New Roman" w:hAnsi="Times New Roman"/>
          <w:szCs w:val="24"/>
          <w:lang w:val="fr-FR"/>
        </w:rPr>
        <w:t>espèce mentionnés par le Gouvernement, et qui, tel que rappelé ci-dessus (paragraphes 29 et 30 ci-dessus), a fait l</w:t>
      </w:r>
      <w:r w:rsidR="00A14196">
        <w:rPr>
          <w:rFonts w:ascii="Times New Roman" w:hAnsi="Times New Roman"/>
          <w:szCs w:val="24"/>
          <w:lang w:val="fr-FR"/>
        </w:rPr>
        <w:t>’</w:t>
      </w:r>
      <w:r w:rsidR="003F1F7B" w:rsidRPr="003F1F7B">
        <w:rPr>
          <w:rFonts w:ascii="Times New Roman" w:hAnsi="Times New Roman"/>
          <w:szCs w:val="24"/>
          <w:lang w:val="fr-FR"/>
        </w:rPr>
        <w:t>objet d</w:t>
      </w:r>
      <w:r w:rsidR="00A14196">
        <w:rPr>
          <w:rFonts w:ascii="Times New Roman" w:hAnsi="Times New Roman"/>
          <w:szCs w:val="24"/>
          <w:lang w:val="fr-FR"/>
        </w:rPr>
        <w:t>’</w:t>
      </w:r>
      <w:r w:rsidR="003F1F7B" w:rsidRPr="003F1F7B">
        <w:rPr>
          <w:rFonts w:ascii="Times New Roman" w:hAnsi="Times New Roman"/>
          <w:szCs w:val="24"/>
          <w:lang w:val="fr-FR"/>
        </w:rPr>
        <w:t>un développement jurisprudentiel distinct et ultérieur par rapport à celles-ci.</w:t>
      </w:r>
    </w:p>
    <w:p w:rsidR="00F66B50" w:rsidRDefault="00F66B50" w:rsidP="00F66B50">
      <w:pPr>
        <w:pStyle w:val="ECHRPara"/>
        <w:rPr>
          <w:lang w:val="fr-FR"/>
        </w:rPr>
      </w:pPr>
      <w:r w:rsidRPr="00B308B3">
        <w:rPr>
          <w:lang w:val="fr-FR"/>
        </w:rPr>
        <w:fldChar w:fldCharType="begin"/>
      </w:r>
      <w:r w:rsidRPr="00B308B3">
        <w:rPr>
          <w:lang w:val="fr-FR"/>
        </w:rPr>
        <w:instrText xml:space="preserve"> SEQ level0 \*arabic </w:instrText>
      </w:r>
      <w:r w:rsidRPr="00B308B3">
        <w:rPr>
          <w:lang w:val="fr-FR"/>
        </w:rPr>
        <w:fldChar w:fldCharType="separate"/>
      </w:r>
      <w:r w:rsidR="003B0C14">
        <w:rPr>
          <w:noProof/>
          <w:lang w:val="fr-FR"/>
        </w:rPr>
        <w:t>72</w:t>
      </w:r>
      <w:r w:rsidRPr="00B308B3">
        <w:rPr>
          <w:lang w:val="fr-FR"/>
        </w:rPr>
        <w:fldChar w:fldCharType="end"/>
      </w:r>
      <w:r w:rsidRPr="00B308B3">
        <w:rPr>
          <w:lang w:val="fr-FR"/>
        </w:rPr>
        <w:t>.  La Cour relève aussi que</w:t>
      </w:r>
      <w:r w:rsidR="00B63F79" w:rsidRPr="00B308B3">
        <w:rPr>
          <w:lang w:val="fr-FR"/>
        </w:rPr>
        <w:t>,</w:t>
      </w:r>
      <w:r w:rsidRPr="00B308B3">
        <w:rPr>
          <w:lang w:val="fr-FR"/>
        </w:rPr>
        <w:t xml:space="preserve"> dans son arrêt du 25 février 2006, la cour d</w:t>
      </w:r>
      <w:r w:rsidR="00A14196">
        <w:rPr>
          <w:lang w:val="fr-FR"/>
        </w:rPr>
        <w:t>’</w:t>
      </w:r>
      <w:r w:rsidRPr="00B308B3">
        <w:rPr>
          <w:lang w:val="fr-FR"/>
        </w:rPr>
        <w:t xml:space="preserve">appel de Palerme, </w:t>
      </w:r>
      <w:r w:rsidR="00CB41DD" w:rsidRPr="00B308B3">
        <w:rPr>
          <w:lang w:val="fr-FR"/>
        </w:rPr>
        <w:t>s</w:t>
      </w:r>
      <w:r w:rsidR="00A14196">
        <w:rPr>
          <w:lang w:val="fr-FR"/>
        </w:rPr>
        <w:t>’</w:t>
      </w:r>
      <w:r w:rsidR="00CB41DD" w:rsidRPr="00B308B3">
        <w:rPr>
          <w:lang w:val="fr-FR"/>
        </w:rPr>
        <w:t>exprimant sur l</w:t>
      </w:r>
      <w:r w:rsidR="00A14196">
        <w:rPr>
          <w:lang w:val="fr-FR"/>
        </w:rPr>
        <w:t>’</w:t>
      </w:r>
      <w:r w:rsidR="00CB41DD" w:rsidRPr="00B308B3">
        <w:rPr>
          <w:lang w:val="fr-FR"/>
        </w:rPr>
        <w:t xml:space="preserve">applicabilité de la loi pénale en matière de concours externe en association </w:t>
      </w:r>
      <w:r w:rsidR="00AA709A" w:rsidRPr="00B308B3">
        <w:rPr>
          <w:lang w:val="fr-FR"/>
        </w:rPr>
        <w:t>de type mafieux</w:t>
      </w:r>
      <w:r w:rsidR="00CB41DD" w:rsidRPr="00B308B3">
        <w:rPr>
          <w:lang w:val="fr-FR"/>
        </w:rPr>
        <w:t xml:space="preserve">, </w:t>
      </w:r>
      <w:r w:rsidRPr="00B308B3">
        <w:rPr>
          <w:lang w:val="fr-FR"/>
        </w:rPr>
        <w:t>s</w:t>
      </w:r>
      <w:r w:rsidR="00A14196">
        <w:rPr>
          <w:lang w:val="fr-FR"/>
        </w:rPr>
        <w:t>’</w:t>
      </w:r>
      <w:r w:rsidRPr="00B308B3">
        <w:rPr>
          <w:lang w:val="fr-FR"/>
        </w:rPr>
        <w:t xml:space="preserve">appuya sur les arrêts </w:t>
      </w:r>
      <w:r w:rsidRPr="00B308B3">
        <w:rPr>
          <w:i/>
          <w:lang w:val="fr-FR"/>
        </w:rPr>
        <w:t>Demitry</w:t>
      </w:r>
      <w:r w:rsidRPr="00B308B3">
        <w:rPr>
          <w:lang w:val="fr-FR"/>
        </w:rPr>
        <w:t xml:space="preserve">, </w:t>
      </w:r>
      <w:r w:rsidR="00794A6E" w:rsidRPr="00B308B3">
        <w:rPr>
          <w:lang w:val="fr-FR"/>
        </w:rPr>
        <w:t>n</w:t>
      </w:r>
      <w:r w:rsidR="00E40263" w:rsidRPr="00E40263">
        <w:rPr>
          <w:vertAlign w:val="superscript"/>
          <w:lang w:val="fr-FR"/>
        </w:rPr>
        <w:t>o</w:t>
      </w:r>
      <w:r w:rsidR="00794A6E" w:rsidRPr="00B308B3">
        <w:rPr>
          <w:lang w:val="fr-FR"/>
        </w:rPr>
        <w:t xml:space="preserve"> 16 du 5 octobre 1994</w:t>
      </w:r>
      <w:r w:rsidRPr="00B308B3">
        <w:rPr>
          <w:lang w:val="fr-FR"/>
        </w:rPr>
        <w:t xml:space="preserve">, </w:t>
      </w:r>
      <w:r w:rsidRPr="00B308B3">
        <w:rPr>
          <w:i/>
          <w:lang w:val="fr-FR"/>
        </w:rPr>
        <w:t>Mannino</w:t>
      </w:r>
      <w:r w:rsidR="00794A6E" w:rsidRPr="00B308B3">
        <w:rPr>
          <w:lang w:val="fr-FR"/>
        </w:rPr>
        <w:t xml:space="preserve"> n</w:t>
      </w:r>
      <w:r w:rsidR="00E40263" w:rsidRPr="00E40263">
        <w:rPr>
          <w:vertAlign w:val="superscript"/>
          <w:lang w:val="fr-FR"/>
        </w:rPr>
        <w:t>o</w:t>
      </w:r>
      <w:r w:rsidR="00794A6E" w:rsidRPr="00B308B3">
        <w:rPr>
          <w:lang w:val="fr-FR"/>
        </w:rPr>
        <w:t xml:space="preserve"> 30 du 27 septembre </w:t>
      </w:r>
      <w:r w:rsidRPr="00B308B3">
        <w:rPr>
          <w:lang w:val="fr-FR"/>
        </w:rPr>
        <w:t xml:space="preserve">1995, </w:t>
      </w:r>
      <w:r w:rsidRPr="00B308B3">
        <w:rPr>
          <w:i/>
          <w:lang w:val="fr-FR"/>
        </w:rPr>
        <w:t>Carnevale</w:t>
      </w:r>
      <w:r w:rsidRPr="00B308B3">
        <w:rPr>
          <w:lang w:val="fr-FR"/>
        </w:rPr>
        <w:t>, n</w:t>
      </w:r>
      <w:r w:rsidR="00E40263" w:rsidRPr="00E40263">
        <w:rPr>
          <w:vertAlign w:val="superscript"/>
          <w:lang w:val="fr-FR"/>
        </w:rPr>
        <w:t>o</w:t>
      </w:r>
      <w:r w:rsidRPr="00B308B3">
        <w:rPr>
          <w:lang w:val="fr-FR"/>
        </w:rPr>
        <w:t xml:space="preserve"> 22327 du 30 octobre 2002 et </w:t>
      </w:r>
      <w:r w:rsidRPr="00B308B3">
        <w:rPr>
          <w:i/>
          <w:lang w:val="fr-FR"/>
        </w:rPr>
        <w:t>Mannino</w:t>
      </w:r>
      <w:r w:rsidRPr="00B308B3">
        <w:rPr>
          <w:lang w:val="fr-FR"/>
        </w:rPr>
        <w:t>, n</w:t>
      </w:r>
      <w:r w:rsidR="00E40263" w:rsidRPr="00E40263">
        <w:rPr>
          <w:vertAlign w:val="superscript"/>
          <w:lang w:val="fr-FR"/>
        </w:rPr>
        <w:t>o</w:t>
      </w:r>
      <w:r w:rsidRPr="00B308B3">
        <w:rPr>
          <w:lang w:val="fr-FR"/>
        </w:rPr>
        <w:t xml:space="preserve"> 33748 du 17 juillet 2005 (voir les </w:t>
      </w:r>
      <w:r w:rsidR="006836DD" w:rsidRPr="00B308B3">
        <w:rPr>
          <w:lang w:val="fr-FR"/>
        </w:rPr>
        <w:t>paragraphe 18</w:t>
      </w:r>
      <w:r w:rsidRPr="00B308B3">
        <w:rPr>
          <w:lang w:val="fr-FR"/>
        </w:rPr>
        <w:t xml:space="preserve"> ci-dessus)</w:t>
      </w:r>
      <w:r w:rsidR="00833402" w:rsidRPr="00B308B3">
        <w:rPr>
          <w:lang w:val="fr-FR"/>
        </w:rPr>
        <w:t>, tous postérieurs aux faits reprochés au requérant</w:t>
      </w:r>
      <w:r w:rsidRPr="00B308B3">
        <w:rPr>
          <w:lang w:val="fr-FR"/>
        </w:rPr>
        <w:t>.</w:t>
      </w:r>
    </w:p>
    <w:p w:rsidR="009F56C5" w:rsidRPr="00B308B3" w:rsidRDefault="00A9179A" w:rsidP="00F66B50">
      <w:pPr>
        <w:pStyle w:val="ECHRPara"/>
        <w:rPr>
          <w:lang w:val="fr-FR"/>
        </w:rPr>
      </w:pPr>
      <w:r w:rsidRPr="00B308B3">
        <w:rPr>
          <w:lang w:val="fr-FR"/>
        </w:rPr>
        <w:fldChar w:fldCharType="begin"/>
      </w:r>
      <w:r w:rsidRPr="00B308B3">
        <w:rPr>
          <w:lang w:val="fr-FR"/>
        </w:rPr>
        <w:instrText xml:space="preserve"> SEQ level0 \*arabic </w:instrText>
      </w:r>
      <w:r w:rsidRPr="00B308B3">
        <w:rPr>
          <w:lang w:val="fr-FR"/>
        </w:rPr>
        <w:fldChar w:fldCharType="separate"/>
      </w:r>
      <w:r w:rsidR="003B0C14">
        <w:rPr>
          <w:noProof/>
          <w:lang w:val="fr-FR"/>
        </w:rPr>
        <w:t>73</w:t>
      </w:r>
      <w:r w:rsidRPr="00B308B3">
        <w:rPr>
          <w:lang w:val="fr-FR"/>
        </w:rPr>
        <w:fldChar w:fldCharType="end"/>
      </w:r>
      <w:r w:rsidRPr="00B308B3">
        <w:rPr>
          <w:lang w:val="fr-FR"/>
        </w:rPr>
        <w:t>.  </w:t>
      </w:r>
      <w:r w:rsidR="009F56C5" w:rsidRPr="00B308B3">
        <w:rPr>
          <w:lang w:val="fr-FR"/>
        </w:rPr>
        <w:t xml:space="preserve">La Cour note de surcroît que la doléance du </w:t>
      </w:r>
      <w:r w:rsidR="00514352" w:rsidRPr="00B308B3">
        <w:rPr>
          <w:lang w:val="fr-FR"/>
        </w:rPr>
        <w:t>requérant</w:t>
      </w:r>
      <w:r w:rsidR="009F56C5" w:rsidRPr="00B308B3">
        <w:rPr>
          <w:lang w:val="fr-FR"/>
        </w:rPr>
        <w:t xml:space="preserve"> tenant à la violation du principe de la </w:t>
      </w:r>
      <w:r w:rsidR="00514352" w:rsidRPr="00B308B3">
        <w:rPr>
          <w:lang w:val="fr-FR"/>
        </w:rPr>
        <w:t>non-rétroactivité</w:t>
      </w:r>
      <w:r w:rsidR="009F56C5" w:rsidRPr="00B308B3">
        <w:rPr>
          <w:lang w:val="fr-FR"/>
        </w:rPr>
        <w:t xml:space="preserve"> et de la prévisibilité de la loi pénal</w:t>
      </w:r>
      <w:r w:rsidRPr="00B308B3">
        <w:rPr>
          <w:lang w:val="fr-FR"/>
        </w:rPr>
        <w:t>e</w:t>
      </w:r>
      <w:r w:rsidR="009F56C5" w:rsidRPr="00B308B3">
        <w:rPr>
          <w:lang w:val="fr-FR"/>
        </w:rPr>
        <w:t>, soulevée devant tous les degrés de juridiction (voir les paragraphes 10 et 20 ci-dessus)</w:t>
      </w:r>
      <w:r w:rsidRPr="00B308B3">
        <w:rPr>
          <w:lang w:val="fr-FR"/>
        </w:rPr>
        <w:t>,</w:t>
      </w:r>
      <w:r w:rsidR="009F56C5" w:rsidRPr="00B308B3">
        <w:rPr>
          <w:lang w:val="fr-FR"/>
        </w:rPr>
        <w:t xml:space="preserve"> n</w:t>
      </w:r>
      <w:r w:rsidR="00A14196">
        <w:rPr>
          <w:lang w:val="fr-FR"/>
        </w:rPr>
        <w:t>’</w:t>
      </w:r>
      <w:r w:rsidR="009F56C5" w:rsidRPr="00B308B3">
        <w:rPr>
          <w:lang w:val="fr-FR"/>
        </w:rPr>
        <w:t>a pas fait l</w:t>
      </w:r>
      <w:r w:rsidR="00A14196">
        <w:rPr>
          <w:lang w:val="fr-FR"/>
        </w:rPr>
        <w:t>’</w:t>
      </w:r>
      <w:r w:rsidR="009F56C5" w:rsidRPr="00B308B3">
        <w:rPr>
          <w:lang w:val="fr-FR"/>
        </w:rPr>
        <w:t>objet d</w:t>
      </w:r>
      <w:r w:rsidR="00A14196">
        <w:rPr>
          <w:lang w:val="fr-FR"/>
        </w:rPr>
        <w:t>’</w:t>
      </w:r>
      <w:r w:rsidR="009F56C5" w:rsidRPr="00B308B3">
        <w:rPr>
          <w:lang w:val="fr-FR"/>
        </w:rPr>
        <w:t>un examen approfondi des juridictions internes, celles-ci s</w:t>
      </w:r>
      <w:r w:rsidR="00A14196">
        <w:rPr>
          <w:lang w:val="fr-FR"/>
        </w:rPr>
        <w:t>’</w:t>
      </w:r>
      <w:r w:rsidR="009F56C5" w:rsidRPr="00B308B3">
        <w:rPr>
          <w:lang w:val="fr-FR"/>
        </w:rPr>
        <w:t>étant limitées à analyser en détail l</w:t>
      </w:r>
      <w:r w:rsidR="00A14196">
        <w:rPr>
          <w:lang w:val="fr-FR"/>
        </w:rPr>
        <w:t>’</w:t>
      </w:r>
      <w:r w:rsidR="009F56C5" w:rsidRPr="00B308B3">
        <w:rPr>
          <w:lang w:val="fr-FR"/>
        </w:rPr>
        <w:t>existence même de l</w:t>
      </w:r>
      <w:r w:rsidR="00A14196">
        <w:rPr>
          <w:lang w:val="fr-FR"/>
        </w:rPr>
        <w:t>’</w:t>
      </w:r>
      <w:r w:rsidR="009F56C5" w:rsidRPr="00B308B3">
        <w:rPr>
          <w:lang w:val="fr-FR"/>
        </w:rPr>
        <w:t xml:space="preserve">infraction de concours externe en association </w:t>
      </w:r>
      <w:r w:rsidR="00AA709A" w:rsidRPr="00B308B3">
        <w:rPr>
          <w:lang w:val="fr-FR"/>
        </w:rPr>
        <w:t xml:space="preserve">de type mafieux </w:t>
      </w:r>
      <w:r w:rsidR="009F56C5" w:rsidRPr="00B308B3">
        <w:rPr>
          <w:lang w:val="fr-FR"/>
        </w:rPr>
        <w:t>dans l</w:t>
      </w:r>
      <w:r w:rsidR="00A14196">
        <w:rPr>
          <w:lang w:val="fr-FR"/>
        </w:rPr>
        <w:t>’</w:t>
      </w:r>
      <w:r w:rsidR="009F56C5" w:rsidRPr="00B308B3">
        <w:rPr>
          <w:lang w:val="fr-FR"/>
        </w:rPr>
        <w:t>ordre juridique interne sans toutefois répondre à la question de savoir si une telle infraction pouvait être connue par le requérant à l</w:t>
      </w:r>
      <w:r w:rsidR="00A14196">
        <w:rPr>
          <w:lang w:val="fr-FR"/>
        </w:rPr>
        <w:t>’</w:t>
      </w:r>
      <w:r w:rsidR="009F56C5" w:rsidRPr="00B308B3">
        <w:rPr>
          <w:lang w:val="fr-FR"/>
        </w:rPr>
        <w:t>époque des faits qui lui étaient reprochés (voir les paragraphes 15, 17 et 18 ci-dessus).</w:t>
      </w:r>
    </w:p>
    <w:p w:rsidR="00B6641C" w:rsidRPr="004C5A54" w:rsidRDefault="00F66B50" w:rsidP="00F66B50">
      <w:pPr>
        <w:pStyle w:val="ECHRPara"/>
        <w:rPr>
          <w:lang w:val="fr-FR"/>
        </w:rPr>
      </w:pPr>
      <w:r w:rsidRPr="00B308B3">
        <w:rPr>
          <w:lang w:val="fr-FR"/>
        </w:rPr>
        <w:fldChar w:fldCharType="begin"/>
      </w:r>
      <w:r w:rsidRPr="00B308B3">
        <w:rPr>
          <w:lang w:val="fr-FR"/>
        </w:rPr>
        <w:instrText xml:space="preserve"> SEQ level0 \*arabic </w:instrText>
      </w:r>
      <w:r w:rsidRPr="00B308B3">
        <w:rPr>
          <w:lang w:val="fr-FR"/>
        </w:rPr>
        <w:fldChar w:fldCharType="separate"/>
      </w:r>
      <w:r w:rsidR="003B0C14">
        <w:rPr>
          <w:noProof/>
          <w:lang w:val="fr-FR"/>
        </w:rPr>
        <w:t>74</w:t>
      </w:r>
      <w:r w:rsidRPr="00B308B3">
        <w:rPr>
          <w:lang w:val="fr-FR"/>
        </w:rPr>
        <w:fldChar w:fldCharType="end"/>
      </w:r>
      <w:r w:rsidRPr="00B308B3">
        <w:rPr>
          <w:lang w:val="fr-FR"/>
        </w:rPr>
        <w:t xml:space="preserve">.  Dans ces circonstances, la Cour </w:t>
      </w:r>
      <w:r w:rsidR="00B25941" w:rsidRPr="00B308B3">
        <w:rPr>
          <w:lang w:val="fr-FR"/>
        </w:rPr>
        <w:t>constate</w:t>
      </w:r>
      <w:r w:rsidR="002545A8" w:rsidRPr="00B308B3">
        <w:rPr>
          <w:lang w:val="fr-FR"/>
        </w:rPr>
        <w:t xml:space="preserve"> qu</w:t>
      </w:r>
      <w:r w:rsidR="00B6641C" w:rsidRPr="00B308B3">
        <w:rPr>
          <w:lang w:val="fr-FR"/>
        </w:rPr>
        <w:t>e l</w:t>
      </w:r>
      <w:r w:rsidR="00A14196">
        <w:rPr>
          <w:lang w:val="fr-FR"/>
        </w:rPr>
        <w:t>’</w:t>
      </w:r>
      <w:r w:rsidR="00B6641C" w:rsidRPr="00B308B3">
        <w:rPr>
          <w:lang w:val="fr-FR"/>
        </w:rPr>
        <w:t xml:space="preserve">infraction </w:t>
      </w:r>
      <w:r w:rsidR="002922A4" w:rsidRPr="00B308B3">
        <w:rPr>
          <w:lang w:val="fr-FR"/>
        </w:rPr>
        <w:t>litigieuse</w:t>
      </w:r>
      <w:r w:rsidR="00945BF8" w:rsidRPr="00B308B3">
        <w:rPr>
          <w:lang w:val="fr-FR"/>
        </w:rPr>
        <w:t xml:space="preserve"> </w:t>
      </w:r>
      <w:r w:rsidR="00B6641C" w:rsidRPr="00B308B3">
        <w:rPr>
          <w:lang w:val="fr-FR"/>
        </w:rPr>
        <w:t>a été le résultat d</w:t>
      </w:r>
      <w:r w:rsidR="00A14196">
        <w:rPr>
          <w:lang w:val="fr-FR"/>
        </w:rPr>
        <w:t>’</w:t>
      </w:r>
      <w:r w:rsidR="00B6641C" w:rsidRPr="00B308B3">
        <w:rPr>
          <w:lang w:val="fr-FR"/>
        </w:rPr>
        <w:t xml:space="preserve">une évolution jurisprudentielle </w:t>
      </w:r>
      <w:r w:rsidR="00B63F79" w:rsidRPr="00B308B3">
        <w:rPr>
          <w:lang w:val="fr-FR"/>
        </w:rPr>
        <w:t>amorcée</w:t>
      </w:r>
      <w:r w:rsidR="00B6641C" w:rsidRPr="00B308B3">
        <w:rPr>
          <w:lang w:val="fr-FR"/>
        </w:rPr>
        <w:t xml:space="preserve"> vers la fin des années quatre-vingt du siècle dernier et </w:t>
      </w:r>
      <w:r w:rsidR="002F52F1" w:rsidRPr="00B308B3">
        <w:rPr>
          <w:lang w:val="fr-FR"/>
        </w:rPr>
        <w:t>qui s</w:t>
      </w:r>
      <w:r w:rsidR="00A14196">
        <w:rPr>
          <w:lang w:val="fr-FR"/>
        </w:rPr>
        <w:t>’</w:t>
      </w:r>
      <w:r w:rsidR="002F52F1" w:rsidRPr="00B308B3">
        <w:rPr>
          <w:lang w:val="fr-FR"/>
        </w:rPr>
        <w:t>est</w:t>
      </w:r>
      <w:r w:rsidR="003C2F82" w:rsidRPr="00B308B3">
        <w:rPr>
          <w:lang w:val="fr-FR"/>
        </w:rPr>
        <w:t xml:space="preserve"> </w:t>
      </w:r>
      <w:r w:rsidR="00B6641C" w:rsidRPr="00B308B3">
        <w:rPr>
          <w:lang w:val="fr-FR"/>
        </w:rPr>
        <w:t xml:space="preserve">consolidée en 1994 dans </w:t>
      </w:r>
      <w:r w:rsidR="00B6641C" w:rsidRPr="004C5A54">
        <w:rPr>
          <w:lang w:val="fr-FR"/>
        </w:rPr>
        <w:t>l</w:t>
      </w:r>
      <w:r w:rsidR="00A14196">
        <w:rPr>
          <w:lang w:val="fr-FR"/>
        </w:rPr>
        <w:t>’</w:t>
      </w:r>
      <w:r w:rsidR="00B6641C" w:rsidRPr="004C5A54">
        <w:rPr>
          <w:lang w:val="fr-FR"/>
        </w:rPr>
        <w:t xml:space="preserve">arrêt </w:t>
      </w:r>
      <w:r w:rsidR="00B6641C" w:rsidRPr="004C5A54">
        <w:rPr>
          <w:i/>
          <w:lang w:val="fr-FR"/>
        </w:rPr>
        <w:t>Demitry</w:t>
      </w:r>
      <w:r w:rsidR="00B6641C" w:rsidRPr="004C5A54">
        <w:rPr>
          <w:lang w:val="fr-FR"/>
        </w:rPr>
        <w:t>.</w:t>
      </w:r>
    </w:p>
    <w:p w:rsidR="00B6641C" w:rsidRPr="00B308B3" w:rsidRDefault="00B6641C" w:rsidP="00565DB4">
      <w:pPr>
        <w:pStyle w:val="ECHRPara"/>
        <w:rPr>
          <w:i/>
          <w:szCs w:val="24"/>
          <w:lang w:val="fr-FR"/>
        </w:rPr>
      </w:pPr>
      <w:r w:rsidRPr="004C5A54">
        <w:rPr>
          <w:lang w:val="fr-FR"/>
        </w:rPr>
        <w:fldChar w:fldCharType="begin"/>
      </w:r>
      <w:r w:rsidRPr="004C5A54">
        <w:rPr>
          <w:lang w:val="fr-FR"/>
        </w:rPr>
        <w:instrText xml:space="preserve"> SEQ level0 \*arabic </w:instrText>
      </w:r>
      <w:r w:rsidRPr="004C5A54">
        <w:rPr>
          <w:lang w:val="fr-FR"/>
        </w:rPr>
        <w:fldChar w:fldCharType="separate"/>
      </w:r>
      <w:r w:rsidR="003B0C14">
        <w:rPr>
          <w:noProof/>
          <w:lang w:val="fr-FR"/>
        </w:rPr>
        <w:t>75</w:t>
      </w:r>
      <w:r w:rsidRPr="004C5A54">
        <w:rPr>
          <w:lang w:val="fr-FR"/>
        </w:rPr>
        <w:fldChar w:fldCharType="end"/>
      </w:r>
      <w:r w:rsidRPr="004C5A54">
        <w:rPr>
          <w:lang w:val="fr-FR"/>
        </w:rPr>
        <w:t>.  Ainsi, à</w:t>
      </w:r>
      <w:r w:rsidR="00F66B50" w:rsidRPr="004C5A54">
        <w:rPr>
          <w:lang w:val="fr-FR"/>
        </w:rPr>
        <w:t xml:space="preserve"> l</w:t>
      </w:r>
      <w:r w:rsidR="00A14196">
        <w:rPr>
          <w:lang w:val="fr-FR"/>
        </w:rPr>
        <w:t>’</w:t>
      </w:r>
      <w:r w:rsidR="00F66B50" w:rsidRPr="004C5A54">
        <w:rPr>
          <w:lang w:val="fr-FR"/>
        </w:rPr>
        <w:t xml:space="preserve">époque où les faits reprochés au requérant </w:t>
      </w:r>
      <w:r w:rsidR="00D9421C" w:rsidRPr="004C5A54">
        <w:rPr>
          <w:lang w:val="fr-FR"/>
        </w:rPr>
        <w:t>ont</w:t>
      </w:r>
      <w:r w:rsidR="00F66B50" w:rsidRPr="004C5A54">
        <w:rPr>
          <w:lang w:val="fr-FR"/>
        </w:rPr>
        <w:t xml:space="preserve"> été commis (1979-1988), l</w:t>
      </w:r>
      <w:r w:rsidR="00A14196">
        <w:rPr>
          <w:lang w:val="fr-FR"/>
        </w:rPr>
        <w:t>’</w:t>
      </w:r>
      <w:r w:rsidR="00F66B50" w:rsidRPr="004C5A54">
        <w:rPr>
          <w:lang w:val="fr-FR"/>
        </w:rPr>
        <w:t xml:space="preserve">infraction </w:t>
      </w:r>
      <w:r w:rsidR="00B25941" w:rsidRPr="004C5A54">
        <w:rPr>
          <w:lang w:val="fr-FR"/>
        </w:rPr>
        <w:t xml:space="preserve">en cause </w:t>
      </w:r>
      <w:r w:rsidR="00F66B50" w:rsidRPr="004C5A54">
        <w:rPr>
          <w:lang w:val="fr-FR"/>
        </w:rPr>
        <w:t>n</w:t>
      </w:r>
      <w:r w:rsidR="00A14196">
        <w:rPr>
          <w:lang w:val="fr-FR"/>
        </w:rPr>
        <w:t>’</w:t>
      </w:r>
      <w:r w:rsidR="00F66B50" w:rsidRPr="004C5A54">
        <w:rPr>
          <w:lang w:val="fr-FR"/>
        </w:rPr>
        <w:t xml:space="preserve">était pas suffisamment </w:t>
      </w:r>
      <w:r w:rsidR="00981280" w:rsidRPr="004C5A54">
        <w:rPr>
          <w:lang w:val="fr-FR"/>
        </w:rPr>
        <w:t xml:space="preserve">claire et </w:t>
      </w:r>
      <w:r w:rsidR="00F66B50" w:rsidRPr="004C5A54">
        <w:rPr>
          <w:lang w:val="fr-FR"/>
        </w:rPr>
        <w:t>prévisible</w:t>
      </w:r>
      <w:r w:rsidR="00981280" w:rsidRPr="004C5A54">
        <w:rPr>
          <w:lang w:val="fr-FR"/>
        </w:rPr>
        <w:t xml:space="preserve"> </w:t>
      </w:r>
      <w:r w:rsidR="00211AFD" w:rsidRPr="004C5A54">
        <w:rPr>
          <w:lang w:val="fr-FR"/>
        </w:rPr>
        <w:t xml:space="preserve">pour </w:t>
      </w:r>
      <w:r w:rsidR="000479A3" w:rsidRPr="004C5A54">
        <w:rPr>
          <w:lang w:val="fr-FR"/>
        </w:rPr>
        <w:t>celui-ci</w:t>
      </w:r>
      <w:r w:rsidR="00211AFD" w:rsidRPr="004C5A54">
        <w:rPr>
          <w:lang w:val="fr-FR"/>
        </w:rPr>
        <w:t xml:space="preserve">. </w:t>
      </w:r>
      <w:r w:rsidR="000479A3" w:rsidRPr="004C5A54">
        <w:rPr>
          <w:lang w:val="fr-FR"/>
        </w:rPr>
        <w:t>Le requérant</w:t>
      </w:r>
      <w:r w:rsidR="00B25941" w:rsidRPr="004C5A54">
        <w:rPr>
          <w:lang w:val="fr-FR"/>
        </w:rPr>
        <w:t xml:space="preserve"> </w:t>
      </w:r>
      <w:r w:rsidR="00211AFD" w:rsidRPr="004C5A54">
        <w:rPr>
          <w:lang w:val="fr-FR"/>
        </w:rPr>
        <w:t>ne pouvait donc pas connaître en l</w:t>
      </w:r>
      <w:r w:rsidR="00A14196">
        <w:rPr>
          <w:lang w:val="fr-FR"/>
        </w:rPr>
        <w:t>’</w:t>
      </w:r>
      <w:r w:rsidR="00211AFD" w:rsidRPr="004C5A54">
        <w:rPr>
          <w:lang w:val="fr-FR"/>
        </w:rPr>
        <w:t>espèce</w:t>
      </w:r>
      <w:r w:rsidR="00211AFD" w:rsidRPr="004C5A54">
        <w:rPr>
          <w:rStyle w:val="sb8d990e2"/>
          <w:lang w:val="fr-FR"/>
        </w:rPr>
        <w:t xml:space="preserve"> </w:t>
      </w:r>
      <w:r w:rsidR="006E5C63" w:rsidRPr="004C5A54">
        <w:rPr>
          <w:rStyle w:val="sb8d990e2"/>
          <w:lang w:val="fr-FR"/>
        </w:rPr>
        <w:t>la</w:t>
      </w:r>
      <w:r w:rsidR="00211AFD" w:rsidRPr="004C5A54">
        <w:rPr>
          <w:rStyle w:val="sb8d990e2"/>
          <w:lang w:val="fr-FR"/>
        </w:rPr>
        <w:t xml:space="preserve"> peine </w:t>
      </w:r>
      <w:r w:rsidR="006E5C63" w:rsidRPr="004C5A54">
        <w:rPr>
          <w:rStyle w:val="sb8d990e2"/>
          <w:lang w:val="fr-FR"/>
        </w:rPr>
        <w:t>qu</w:t>
      </w:r>
      <w:r w:rsidR="00A14196">
        <w:rPr>
          <w:rStyle w:val="sb8d990e2"/>
          <w:lang w:val="fr-FR"/>
        </w:rPr>
        <w:t>’</w:t>
      </w:r>
      <w:r w:rsidR="00211AFD" w:rsidRPr="004C5A54">
        <w:rPr>
          <w:rStyle w:val="sb8d990e2"/>
          <w:lang w:val="fr-FR"/>
        </w:rPr>
        <w:t>il encour</w:t>
      </w:r>
      <w:r w:rsidR="00B1693F" w:rsidRPr="004C5A54">
        <w:rPr>
          <w:rStyle w:val="sb8d990e2"/>
          <w:lang w:val="fr-FR"/>
        </w:rPr>
        <w:t>ai</w:t>
      </w:r>
      <w:r w:rsidR="00D34B81" w:rsidRPr="004C5A54">
        <w:rPr>
          <w:rStyle w:val="sb8d990e2"/>
          <w:lang w:val="fr-FR"/>
        </w:rPr>
        <w:t>t du chef de</w:t>
      </w:r>
      <w:r w:rsidR="00211AFD" w:rsidRPr="004C5A54">
        <w:rPr>
          <w:rStyle w:val="sb8d990e2"/>
          <w:lang w:val="fr-FR"/>
        </w:rPr>
        <w:t xml:space="preserve"> </w:t>
      </w:r>
      <w:r w:rsidR="00D34B81" w:rsidRPr="004C5A54">
        <w:rPr>
          <w:rStyle w:val="sb8d990e2"/>
          <w:lang w:val="fr-FR"/>
        </w:rPr>
        <w:t>la responsabilité pénale découlant des actes qu</w:t>
      </w:r>
      <w:r w:rsidR="00A14196">
        <w:rPr>
          <w:rStyle w:val="sb8d990e2"/>
          <w:lang w:val="fr-FR"/>
        </w:rPr>
        <w:t>’</w:t>
      </w:r>
      <w:r w:rsidR="00D34B81" w:rsidRPr="004C5A54">
        <w:rPr>
          <w:rStyle w:val="sb8d990e2"/>
          <w:lang w:val="fr-FR"/>
        </w:rPr>
        <w:t xml:space="preserve">il avait accomplis </w:t>
      </w:r>
      <w:r w:rsidR="00981280" w:rsidRPr="004C5A54">
        <w:rPr>
          <w:lang w:val="fr-FR"/>
        </w:rPr>
        <w:t>(</w:t>
      </w:r>
      <w:r w:rsidR="00565DB4" w:rsidRPr="004C5A54">
        <w:rPr>
          <w:i/>
          <w:lang w:val="fr-FR"/>
        </w:rPr>
        <w:t>Del Rio Prada</w:t>
      </w:r>
      <w:r w:rsidR="00565DB4" w:rsidRPr="004C5A54">
        <w:rPr>
          <w:lang w:val="fr-FR"/>
        </w:rPr>
        <w:t xml:space="preserve"> [GC]</w:t>
      </w:r>
      <w:r w:rsidR="00565DB4" w:rsidRPr="004C5A54">
        <w:rPr>
          <w:snapToGrid w:val="0"/>
          <w:lang w:val="fr-FR"/>
        </w:rPr>
        <w:t>, précité, §§</w:t>
      </w:r>
      <w:r w:rsidR="00551571" w:rsidRPr="004C5A54">
        <w:rPr>
          <w:snapToGrid w:val="0"/>
          <w:lang w:val="fr-FR"/>
        </w:rPr>
        <w:t> </w:t>
      </w:r>
      <w:r w:rsidR="006A43ED" w:rsidRPr="004C5A54">
        <w:rPr>
          <w:snapToGrid w:val="0"/>
          <w:lang w:val="fr-FR"/>
        </w:rPr>
        <w:t xml:space="preserve">79 et </w:t>
      </w:r>
      <w:r w:rsidR="00565DB4" w:rsidRPr="004C5A54">
        <w:rPr>
          <w:snapToGrid w:val="0"/>
          <w:lang w:val="fr-FR"/>
        </w:rPr>
        <w:t xml:space="preserve">111-118, </w:t>
      </w:r>
      <w:r w:rsidR="00764046" w:rsidRPr="004C5A54">
        <w:rPr>
          <w:i/>
          <w:snapToGrid w:val="0"/>
          <w:lang w:val="fr-FR"/>
        </w:rPr>
        <w:t>a contrario</w:t>
      </w:r>
      <w:r w:rsidR="00764046" w:rsidRPr="004C5A54">
        <w:rPr>
          <w:snapToGrid w:val="0"/>
          <w:lang w:val="fr-FR"/>
        </w:rPr>
        <w:t xml:space="preserve">, </w:t>
      </w:r>
      <w:r w:rsidR="00540760" w:rsidRPr="004C5A54">
        <w:rPr>
          <w:i/>
          <w:lang w:val="fr-FR"/>
        </w:rPr>
        <w:t>Ashlarba c. Géorgie</w:t>
      </w:r>
      <w:r w:rsidR="00540760" w:rsidRPr="004C5A54">
        <w:rPr>
          <w:lang w:val="fr-FR"/>
        </w:rPr>
        <w:t>, n</w:t>
      </w:r>
      <w:r w:rsidR="00540760" w:rsidRPr="004C5A54">
        <w:rPr>
          <w:vertAlign w:val="superscript"/>
          <w:lang w:val="fr-FR"/>
        </w:rPr>
        <w:t>o</w:t>
      </w:r>
      <w:r w:rsidR="00A9179A" w:rsidRPr="004C5A54">
        <w:rPr>
          <w:vertAlign w:val="superscript"/>
          <w:lang w:val="fr-FR"/>
        </w:rPr>
        <w:t> </w:t>
      </w:r>
      <w:r w:rsidR="00540760" w:rsidRPr="004C5A54">
        <w:rPr>
          <w:lang w:val="fr-FR"/>
        </w:rPr>
        <w:t>45554/08</w:t>
      </w:r>
      <w:r w:rsidR="00540760" w:rsidRPr="004C5A54">
        <w:rPr>
          <w:snapToGrid w:val="0"/>
          <w:lang w:val="fr-FR"/>
        </w:rPr>
        <w:t>, §§ 35-41, 15</w:t>
      </w:r>
      <w:r w:rsidR="00547806" w:rsidRPr="004C5A54">
        <w:rPr>
          <w:snapToGrid w:val="0"/>
          <w:lang w:val="fr-FR"/>
        </w:rPr>
        <w:t> </w:t>
      </w:r>
      <w:r w:rsidR="00540760" w:rsidRPr="004C5A54">
        <w:rPr>
          <w:lang w:val="fr-FR"/>
        </w:rPr>
        <w:t>juillet</w:t>
      </w:r>
      <w:r w:rsidR="00540760" w:rsidRPr="004C5A54">
        <w:rPr>
          <w:snapToGrid w:val="0"/>
          <w:lang w:val="fr-FR"/>
        </w:rPr>
        <w:t xml:space="preserve"> 2014</w:t>
      </w:r>
      <w:r w:rsidR="00565DB4" w:rsidRPr="004C5A54">
        <w:rPr>
          <w:i/>
          <w:snapToGrid w:val="0"/>
          <w:lang w:val="fr-FR"/>
        </w:rPr>
        <w:t>,</w:t>
      </w:r>
      <w:r w:rsidR="00565DB4" w:rsidRPr="004C5A54">
        <w:rPr>
          <w:snapToGrid w:val="0"/>
          <w:lang w:val="fr-FR"/>
        </w:rPr>
        <w:t xml:space="preserve"> </w:t>
      </w:r>
      <w:r w:rsidR="00565DB4" w:rsidRPr="004C5A54">
        <w:rPr>
          <w:i/>
          <w:snapToGrid w:val="0"/>
          <w:lang w:val="fr-FR"/>
        </w:rPr>
        <w:t>a contrario</w:t>
      </w:r>
      <w:r w:rsidR="00565DB4" w:rsidRPr="004C5A54">
        <w:rPr>
          <w:snapToGrid w:val="0"/>
          <w:lang w:val="fr-FR"/>
        </w:rPr>
        <w:t xml:space="preserve">, </w:t>
      </w:r>
      <w:r w:rsidR="00565DB4" w:rsidRPr="004C5A54">
        <w:rPr>
          <w:i/>
          <w:snapToGrid w:val="0"/>
          <w:lang w:val="fr-FR"/>
        </w:rPr>
        <w:t>Rohlena</w:t>
      </w:r>
      <w:r w:rsidR="00565DB4" w:rsidRPr="004C5A54">
        <w:rPr>
          <w:snapToGrid w:val="0"/>
          <w:lang w:val="fr-FR"/>
        </w:rPr>
        <w:t xml:space="preserve">, </w:t>
      </w:r>
      <w:r w:rsidR="00FE43D9" w:rsidRPr="004C5A54">
        <w:rPr>
          <w:snapToGrid w:val="0"/>
          <w:lang w:val="fr-FR"/>
        </w:rPr>
        <w:t xml:space="preserve">§ </w:t>
      </w:r>
      <w:r w:rsidR="006A43ED" w:rsidRPr="004C5A54">
        <w:rPr>
          <w:snapToGrid w:val="0"/>
          <w:lang w:val="fr-FR"/>
        </w:rPr>
        <w:t>50</w:t>
      </w:r>
      <w:r w:rsidR="007A0E55" w:rsidRPr="004C5A54">
        <w:rPr>
          <w:snapToGrid w:val="0"/>
          <w:lang w:val="fr-FR"/>
        </w:rPr>
        <w:t xml:space="preserve">, </w:t>
      </w:r>
      <w:r w:rsidR="00565DB4" w:rsidRPr="004C5A54">
        <w:rPr>
          <w:snapToGrid w:val="0"/>
          <w:lang w:val="fr-FR"/>
        </w:rPr>
        <w:t>précité</w:t>
      </w:r>
      <w:r w:rsidR="000358E6" w:rsidRPr="004C5A54">
        <w:rPr>
          <w:snapToGrid w:val="0"/>
          <w:lang w:val="fr-FR"/>
        </w:rPr>
        <w:t xml:space="preserve"> et, </w:t>
      </w:r>
      <w:r w:rsidR="000358E6" w:rsidRPr="004C5A54">
        <w:rPr>
          <w:i/>
          <w:snapToGrid w:val="0"/>
          <w:lang w:val="fr-FR"/>
        </w:rPr>
        <w:t>mutatis mutandis</w:t>
      </w:r>
      <w:r w:rsidR="000358E6" w:rsidRPr="004C5A54">
        <w:rPr>
          <w:snapToGrid w:val="0"/>
          <w:lang w:val="fr-FR"/>
        </w:rPr>
        <w:t xml:space="preserve">, </w:t>
      </w:r>
      <w:r w:rsidR="000358E6" w:rsidRPr="004C5A54">
        <w:rPr>
          <w:i/>
          <w:lang w:val="fr-FR"/>
        </w:rPr>
        <w:t>Alimuçaj c. Albanie</w:t>
      </w:r>
      <w:r w:rsidR="000358E6" w:rsidRPr="004C5A54">
        <w:rPr>
          <w:lang w:val="fr-FR"/>
        </w:rPr>
        <w:t>, n</w:t>
      </w:r>
      <w:r w:rsidR="000358E6" w:rsidRPr="004C5A54">
        <w:rPr>
          <w:vertAlign w:val="superscript"/>
          <w:lang w:val="fr-FR"/>
        </w:rPr>
        <w:t>o</w:t>
      </w:r>
      <w:r w:rsidR="000358E6" w:rsidRPr="004C5A54">
        <w:rPr>
          <w:lang w:val="fr-FR"/>
        </w:rPr>
        <w:t xml:space="preserve"> 20134/05</w:t>
      </w:r>
      <w:r w:rsidR="000358E6" w:rsidRPr="004C5A54">
        <w:rPr>
          <w:snapToGrid w:val="0"/>
          <w:szCs w:val="24"/>
          <w:lang w:val="fr-FR"/>
        </w:rPr>
        <w:t>, §§ 154-162, 7 février 2012</w:t>
      </w:r>
      <w:r w:rsidR="00EA163D" w:rsidRPr="004C5A54">
        <w:rPr>
          <w:snapToGrid w:val="0"/>
          <w:lang w:val="fr-FR"/>
        </w:rPr>
        <w:t>)</w:t>
      </w:r>
      <w:r w:rsidRPr="004C5A54">
        <w:rPr>
          <w:lang w:val="fr-FR"/>
        </w:rPr>
        <w:t>.</w:t>
      </w:r>
    </w:p>
    <w:p w:rsidR="00F66B50" w:rsidRDefault="00B6641C" w:rsidP="00F66B50">
      <w:pPr>
        <w:pStyle w:val="ECHRPara"/>
        <w:rPr>
          <w:lang w:val="fr-FR"/>
        </w:rPr>
      </w:pPr>
      <w:r w:rsidRPr="00B308B3">
        <w:rPr>
          <w:lang w:val="fr-FR"/>
        </w:rPr>
        <w:fldChar w:fldCharType="begin"/>
      </w:r>
      <w:r w:rsidRPr="00B308B3">
        <w:rPr>
          <w:lang w:val="fr-FR"/>
        </w:rPr>
        <w:instrText xml:space="preserve"> SEQ level0 \*arabic </w:instrText>
      </w:r>
      <w:r w:rsidRPr="00B308B3">
        <w:rPr>
          <w:lang w:val="fr-FR"/>
        </w:rPr>
        <w:fldChar w:fldCharType="separate"/>
      </w:r>
      <w:r w:rsidR="003B0C14">
        <w:rPr>
          <w:noProof/>
          <w:lang w:val="fr-FR"/>
        </w:rPr>
        <w:t>76</w:t>
      </w:r>
      <w:r w:rsidRPr="00B308B3">
        <w:rPr>
          <w:lang w:val="fr-FR"/>
        </w:rPr>
        <w:fldChar w:fldCharType="end"/>
      </w:r>
      <w:r w:rsidRPr="00B308B3">
        <w:rPr>
          <w:lang w:val="fr-FR"/>
        </w:rPr>
        <w:t>.  </w:t>
      </w:r>
      <w:r w:rsidR="00F66B50" w:rsidRPr="00B308B3">
        <w:rPr>
          <w:lang w:val="fr-FR"/>
        </w:rPr>
        <w:t>Ces éléments suffisent à la Cour pour conclure qu</w:t>
      </w:r>
      <w:r w:rsidR="00A14196">
        <w:rPr>
          <w:lang w:val="fr-FR"/>
        </w:rPr>
        <w:t>’</w:t>
      </w:r>
      <w:r w:rsidR="00F66B50" w:rsidRPr="00B308B3">
        <w:rPr>
          <w:lang w:val="fr-FR"/>
        </w:rPr>
        <w:t>il y a eu violation</w:t>
      </w:r>
      <w:r w:rsidR="00F66B50">
        <w:rPr>
          <w:lang w:val="fr-FR"/>
        </w:rPr>
        <w:t xml:space="preserve"> de l</w:t>
      </w:r>
      <w:r w:rsidR="00A14196">
        <w:rPr>
          <w:lang w:val="fr-FR"/>
        </w:rPr>
        <w:t>’</w:t>
      </w:r>
      <w:r w:rsidR="00F66B50">
        <w:rPr>
          <w:lang w:val="fr-FR"/>
        </w:rPr>
        <w:t>article 7 de la Convention.</w:t>
      </w:r>
    </w:p>
    <w:p w:rsidR="00F66B50" w:rsidRPr="00AD412E" w:rsidRDefault="00F66B50" w:rsidP="00F66B50">
      <w:pPr>
        <w:pStyle w:val="ECHRHeading1"/>
        <w:ind w:left="0" w:firstLine="0"/>
        <w:rPr>
          <w:lang w:val="fr-FR"/>
        </w:rPr>
      </w:pPr>
      <w:r>
        <w:rPr>
          <w:lang w:val="pt-BR"/>
        </w:rPr>
        <w:lastRenderedPageBreak/>
        <w:t>II</w:t>
      </w:r>
      <w:r w:rsidRPr="00D42AFF">
        <w:rPr>
          <w:lang w:val="pt-BR"/>
        </w:rPr>
        <w:t>.  </w:t>
      </w:r>
      <w:r w:rsidRPr="00AD412E">
        <w:rPr>
          <w:lang w:val="fr-FR"/>
        </w:rPr>
        <w:t>SUR L</w:t>
      </w:r>
      <w:r w:rsidR="00A14196">
        <w:rPr>
          <w:lang w:val="fr-FR"/>
        </w:rPr>
        <w:t>’</w:t>
      </w:r>
      <w:r w:rsidRPr="00AD412E">
        <w:rPr>
          <w:lang w:val="fr-FR"/>
        </w:rPr>
        <w:t>APPLICATION DE L</w:t>
      </w:r>
      <w:r w:rsidR="00A14196">
        <w:rPr>
          <w:lang w:val="fr-FR"/>
        </w:rPr>
        <w:t>’</w:t>
      </w:r>
      <w:r w:rsidRPr="00AD412E">
        <w:rPr>
          <w:lang w:val="fr-FR"/>
        </w:rPr>
        <w:t>ARTICLE 41 DE LA CONVENTION</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77</w:t>
      </w:r>
      <w:r>
        <w:rPr>
          <w:lang w:val="fr-FR"/>
        </w:rPr>
        <w:fldChar w:fldCharType="end"/>
      </w:r>
      <w:r w:rsidRPr="00AD412E">
        <w:rPr>
          <w:lang w:val="fr-FR"/>
        </w:rPr>
        <w:t>.  Aux termes de l</w:t>
      </w:r>
      <w:r w:rsidR="00A14196">
        <w:rPr>
          <w:lang w:val="fr-FR"/>
        </w:rPr>
        <w:t>’</w:t>
      </w:r>
      <w:r w:rsidRPr="00AD412E">
        <w:rPr>
          <w:lang w:val="fr-FR"/>
        </w:rPr>
        <w:t>article 41 de la Convention,</w:t>
      </w:r>
    </w:p>
    <w:p w:rsidR="00F66B50" w:rsidRPr="00AD412E" w:rsidRDefault="00F66B50" w:rsidP="00F66B50">
      <w:pPr>
        <w:pStyle w:val="ECHRParaQuote"/>
        <w:keepNext/>
        <w:keepLines/>
        <w:rPr>
          <w:lang w:val="fr-FR"/>
        </w:rPr>
      </w:pPr>
      <w:r w:rsidRPr="00AD412E">
        <w:rPr>
          <w:lang w:val="fr-FR"/>
        </w:rPr>
        <w:t>« Si la Cour déclare qu</w:t>
      </w:r>
      <w:r w:rsidR="00A14196">
        <w:rPr>
          <w:lang w:val="fr-FR"/>
        </w:rPr>
        <w:t>’</w:t>
      </w:r>
      <w:r w:rsidRPr="00AD412E">
        <w:rPr>
          <w:lang w:val="fr-FR"/>
        </w:rPr>
        <w:t>il y a eu violation de la Convention ou de ses Protocoles, et si le droit interne de la Haute Partie contractante ne permet d</w:t>
      </w:r>
      <w:r w:rsidR="00A14196">
        <w:rPr>
          <w:lang w:val="fr-FR"/>
        </w:rPr>
        <w:t>’</w:t>
      </w:r>
      <w:r w:rsidRPr="00AD412E">
        <w:rPr>
          <w:lang w:val="fr-FR"/>
        </w:rPr>
        <w:t>effacer qu</w:t>
      </w:r>
      <w:r w:rsidR="00A14196">
        <w:rPr>
          <w:lang w:val="fr-FR"/>
        </w:rPr>
        <w:t>’</w:t>
      </w:r>
      <w:r w:rsidRPr="00AD412E">
        <w:rPr>
          <w:lang w:val="fr-FR"/>
        </w:rPr>
        <w:t>imparfaitement les conséquences de cette violation, la Cour accorde à la partie lésée, s</w:t>
      </w:r>
      <w:r w:rsidR="00A14196">
        <w:rPr>
          <w:lang w:val="fr-FR"/>
        </w:rPr>
        <w:t>’</w:t>
      </w:r>
      <w:r w:rsidRPr="00AD412E">
        <w:rPr>
          <w:lang w:val="fr-FR"/>
        </w:rPr>
        <w:t>il y a lieu, une satisfaction équitable. »</w:t>
      </w:r>
    </w:p>
    <w:p w:rsidR="00F66B50" w:rsidRPr="00AD412E" w:rsidRDefault="00F66B50" w:rsidP="00F66B50">
      <w:pPr>
        <w:pStyle w:val="ECHRHeading2"/>
        <w:outlineLvl w:val="0"/>
        <w:rPr>
          <w:lang w:val="fr-FR"/>
        </w:rPr>
      </w:pPr>
      <w:r w:rsidRPr="00AD412E">
        <w:rPr>
          <w:lang w:val="fr-FR"/>
        </w:rPr>
        <w:t>A.  Dommage</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78</w:t>
      </w:r>
      <w:r>
        <w:rPr>
          <w:lang w:val="fr-FR"/>
        </w:rPr>
        <w:fldChar w:fldCharType="end"/>
      </w:r>
      <w:r w:rsidRPr="00AD412E">
        <w:rPr>
          <w:lang w:val="fr-FR"/>
        </w:rPr>
        <w:t>.  </w:t>
      </w:r>
      <w:r>
        <w:rPr>
          <w:lang w:val="fr-FR"/>
        </w:rPr>
        <w:t xml:space="preserve">En ce qui concerne le dommage matériel, le requérant </w:t>
      </w:r>
      <w:r w:rsidRPr="00AD412E">
        <w:rPr>
          <w:lang w:val="fr-FR"/>
        </w:rPr>
        <w:t>réclame</w:t>
      </w:r>
      <w:r>
        <w:rPr>
          <w:lang w:val="fr-FR"/>
        </w:rPr>
        <w:t xml:space="preserve"> « la reconstitution de sa carrière ainsi que la restitution de l</w:t>
      </w:r>
      <w:r w:rsidR="00A14196">
        <w:rPr>
          <w:lang w:val="fr-FR"/>
        </w:rPr>
        <w:t>’</w:t>
      </w:r>
      <w:r>
        <w:rPr>
          <w:lang w:val="fr-FR"/>
        </w:rPr>
        <w:t>ensemble des montants qu</w:t>
      </w:r>
      <w:r w:rsidR="00A14196">
        <w:rPr>
          <w:lang w:val="fr-FR"/>
        </w:rPr>
        <w:t>’</w:t>
      </w:r>
      <w:r>
        <w:rPr>
          <w:lang w:val="fr-FR"/>
        </w:rPr>
        <w:t>il n</w:t>
      </w:r>
      <w:r w:rsidR="00A14196">
        <w:rPr>
          <w:lang w:val="fr-FR"/>
        </w:rPr>
        <w:t>’</w:t>
      </w:r>
      <w:r>
        <w:rPr>
          <w:lang w:val="fr-FR"/>
        </w:rPr>
        <w:t>a pas reçu en raison de sa condamnation</w:t>
      </w:r>
      <w:r w:rsidR="007F4A10">
        <w:rPr>
          <w:lang w:val="fr-FR"/>
        </w:rPr>
        <w:t> »</w:t>
      </w:r>
      <w:r>
        <w:rPr>
          <w:lang w:val="fr-FR"/>
        </w:rPr>
        <w:t xml:space="preserve">. Il demande également </w:t>
      </w:r>
      <w:r w:rsidR="007F4A10">
        <w:rPr>
          <w:lang w:val="fr-FR"/>
        </w:rPr>
        <w:t>« </w:t>
      </w:r>
      <w:r>
        <w:rPr>
          <w:lang w:val="fr-FR"/>
        </w:rPr>
        <w:t>la restitution de l</w:t>
      </w:r>
      <w:r w:rsidR="00A14196">
        <w:rPr>
          <w:lang w:val="fr-FR"/>
        </w:rPr>
        <w:t>’</w:t>
      </w:r>
      <w:r>
        <w:rPr>
          <w:lang w:val="fr-FR"/>
        </w:rPr>
        <w:t>ensemble des montants qu</w:t>
      </w:r>
      <w:r w:rsidR="00A14196">
        <w:rPr>
          <w:lang w:val="fr-FR"/>
        </w:rPr>
        <w:t>’</w:t>
      </w:r>
      <w:r>
        <w:rPr>
          <w:lang w:val="fr-FR"/>
        </w:rPr>
        <w:t>il a été condamné à payer ».</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79</w:t>
      </w:r>
      <w:r>
        <w:rPr>
          <w:lang w:val="fr-FR"/>
        </w:rPr>
        <w:fldChar w:fldCharType="end"/>
      </w:r>
      <w:r>
        <w:rPr>
          <w:lang w:val="fr-FR"/>
        </w:rPr>
        <w:t>.  Le requérant demande en outre entre 30 000 et 50 000</w:t>
      </w:r>
      <w:r w:rsidRPr="00AD412E">
        <w:rPr>
          <w:lang w:val="fr-FR"/>
        </w:rPr>
        <w:t xml:space="preserve"> euros (EUR)</w:t>
      </w:r>
      <w:r>
        <w:rPr>
          <w:lang w:val="fr-FR"/>
        </w:rPr>
        <w:t> »</w:t>
      </w:r>
      <w:r w:rsidRPr="00AD412E">
        <w:rPr>
          <w:lang w:val="fr-FR"/>
        </w:rPr>
        <w:t xml:space="preserve"> au titre du préjudice moral qu</w:t>
      </w:r>
      <w:r w:rsidR="00A14196">
        <w:rPr>
          <w:lang w:val="fr-FR"/>
        </w:rPr>
        <w:t>’</w:t>
      </w:r>
      <w:r w:rsidRPr="00AD412E">
        <w:rPr>
          <w:lang w:val="fr-FR"/>
        </w:rPr>
        <w:t>il aurait subi.</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80</w:t>
      </w:r>
      <w:r>
        <w:rPr>
          <w:lang w:val="fr-FR"/>
        </w:rPr>
        <w:fldChar w:fldCharType="end"/>
      </w:r>
      <w:r w:rsidRPr="00AD412E">
        <w:rPr>
          <w:lang w:val="fr-FR"/>
        </w:rPr>
        <w:t>.  </w:t>
      </w:r>
      <w:r>
        <w:rPr>
          <w:lang w:val="fr-FR"/>
        </w:rPr>
        <w:t>Le Gouvernement s</w:t>
      </w:r>
      <w:r w:rsidR="00A14196">
        <w:rPr>
          <w:lang w:val="fr-FR"/>
        </w:rPr>
        <w:t>’</w:t>
      </w:r>
      <w:r>
        <w:rPr>
          <w:lang w:val="fr-FR"/>
        </w:rPr>
        <w:t>oppose à ces prétentions et fait valoir qu</w:t>
      </w:r>
      <w:r w:rsidR="00A14196">
        <w:rPr>
          <w:lang w:val="fr-FR"/>
        </w:rPr>
        <w:t>’</w:t>
      </w:r>
      <w:r w:rsidR="004D106A">
        <w:rPr>
          <w:lang w:val="fr-FR"/>
        </w:rPr>
        <w:t>elles</w:t>
      </w:r>
      <w:r>
        <w:rPr>
          <w:lang w:val="fr-FR"/>
        </w:rPr>
        <w:t xml:space="preserve"> n</w:t>
      </w:r>
      <w:r w:rsidR="00A14196">
        <w:rPr>
          <w:lang w:val="fr-FR"/>
        </w:rPr>
        <w:t>’</w:t>
      </w:r>
      <w:r>
        <w:rPr>
          <w:lang w:val="fr-FR"/>
        </w:rPr>
        <w:t>ont pas été prouvées.</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81</w:t>
      </w:r>
      <w:r>
        <w:rPr>
          <w:lang w:val="fr-FR"/>
        </w:rPr>
        <w:fldChar w:fldCharType="end"/>
      </w:r>
      <w:r>
        <w:rPr>
          <w:lang w:val="fr-FR"/>
        </w:rPr>
        <w:t>.  </w:t>
      </w:r>
      <w:r w:rsidRPr="00AD412E">
        <w:rPr>
          <w:lang w:val="fr-FR"/>
        </w:rPr>
        <w:t>La Cour n</w:t>
      </w:r>
      <w:r w:rsidR="00A14196">
        <w:rPr>
          <w:lang w:val="fr-FR"/>
        </w:rPr>
        <w:t>’</w:t>
      </w:r>
      <w:r w:rsidRPr="00AD412E">
        <w:rPr>
          <w:lang w:val="fr-FR"/>
        </w:rPr>
        <w:t>aperçoit pas de lien de causalité entre la violation constatée et le dommage matériel allégué et rejette cette demande. En revanche, elle considère qu</w:t>
      </w:r>
      <w:r w:rsidR="00A14196">
        <w:rPr>
          <w:lang w:val="fr-FR"/>
        </w:rPr>
        <w:t>’</w:t>
      </w:r>
      <w:r w:rsidRPr="00AD412E">
        <w:rPr>
          <w:lang w:val="fr-FR"/>
        </w:rPr>
        <w:t>il y a lieu d</w:t>
      </w:r>
      <w:r w:rsidR="00A14196">
        <w:rPr>
          <w:lang w:val="fr-FR"/>
        </w:rPr>
        <w:t>’</w:t>
      </w:r>
      <w:r w:rsidR="008A3F8E">
        <w:rPr>
          <w:lang w:val="fr-FR"/>
        </w:rPr>
        <w:t>octroyer au requérant 10 000</w:t>
      </w:r>
      <w:r w:rsidRPr="00AD412E">
        <w:rPr>
          <w:lang w:val="fr-FR"/>
        </w:rPr>
        <w:t xml:space="preserve"> EUR au titre du préjudice moral.</w:t>
      </w:r>
    </w:p>
    <w:p w:rsidR="00F66B50" w:rsidRPr="00AD412E" w:rsidRDefault="00F66B50" w:rsidP="00F66B50">
      <w:pPr>
        <w:pStyle w:val="ECHRHeading2"/>
        <w:outlineLvl w:val="0"/>
        <w:rPr>
          <w:lang w:val="fr-FR"/>
        </w:rPr>
      </w:pPr>
      <w:r w:rsidRPr="00AD412E">
        <w:rPr>
          <w:lang w:val="fr-FR"/>
        </w:rPr>
        <w:t>B.  Frais et dépens</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82</w:t>
      </w:r>
      <w:r>
        <w:rPr>
          <w:lang w:val="fr-FR"/>
        </w:rPr>
        <w:fldChar w:fldCharType="end"/>
      </w:r>
      <w:r w:rsidRPr="00AD412E">
        <w:rPr>
          <w:lang w:val="fr-FR"/>
        </w:rPr>
        <w:t xml:space="preserve">.  Le requérant demande également </w:t>
      </w:r>
      <w:r>
        <w:rPr>
          <w:lang w:val="fr-FR"/>
        </w:rPr>
        <w:t>48 253,18</w:t>
      </w:r>
      <w:r w:rsidRPr="00AD412E">
        <w:rPr>
          <w:lang w:val="fr-FR"/>
        </w:rPr>
        <w:t xml:space="preserve"> EUR pour les frais et dépens engagés devant les juridictions internes et </w:t>
      </w:r>
      <w:r>
        <w:rPr>
          <w:lang w:val="fr-FR"/>
        </w:rPr>
        <w:t>29 335,61</w:t>
      </w:r>
      <w:r w:rsidRPr="00AD412E">
        <w:rPr>
          <w:lang w:val="fr-FR"/>
        </w:rPr>
        <w:t xml:space="preserve"> EUR pour ceux engagés devant la Cour.</w:t>
      </w:r>
    </w:p>
    <w:p w:rsidR="00F66B50" w:rsidRPr="00AD412E"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83</w:t>
      </w:r>
      <w:r>
        <w:rPr>
          <w:lang w:val="fr-FR"/>
        </w:rPr>
        <w:fldChar w:fldCharType="end"/>
      </w:r>
      <w:r>
        <w:rPr>
          <w:lang w:val="fr-FR"/>
        </w:rPr>
        <w:t>.  Le Gouvernement s</w:t>
      </w:r>
      <w:r w:rsidR="00A14196">
        <w:rPr>
          <w:lang w:val="fr-FR"/>
        </w:rPr>
        <w:t>’</w:t>
      </w:r>
      <w:r>
        <w:rPr>
          <w:lang w:val="fr-FR"/>
        </w:rPr>
        <w:t>oppose à ces prétentions et fait valoir que les frais engagés devant les juridictions internes ne devraient pas être octroyés, en raison de ce</w:t>
      </w:r>
      <w:r w:rsidR="002206FE">
        <w:rPr>
          <w:lang w:val="fr-FR"/>
        </w:rPr>
        <w:t xml:space="preserve"> qu</w:t>
      </w:r>
      <w:r w:rsidR="00A14196">
        <w:rPr>
          <w:lang w:val="fr-FR"/>
        </w:rPr>
        <w:t>’</w:t>
      </w:r>
      <w:r w:rsidR="002206FE">
        <w:rPr>
          <w:lang w:val="fr-FR"/>
        </w:rPr>
        <w:t>il n</w:t>
      </w:r>
      <w:r w:rsidR="00A14196">
        <w:rPr>
          <w:lang w:val="fr-FR"/>
        </w:rPr>
        <w:t>’</w:t>
      </w:r>
      <w:r w:rsidR="002206FE">
        <w:rPr>
          <w:lang w:val="fr-FR"/>
        </w:rPr>
        <w:t>y a pas eu</w:t>
      </w:r>
      <w:r w:rsidR="002206FE" w:rsidRPr="002206FE">
        <w:rPr>
          <w:lang w:val="fr-FR"/>
        </w:rPr>
        <w:t xml:space="preserve"> </w:t>
      </w:r>
      <w:r w:rsidR="002206FE">
        <w:rPr>
          <w:lang w:val="fr-FR"/>
        </w:rPr>
        <w:t>violation de l</w:t>
      </w:r>
      <w:r w:rsidR="00A14196">
        <w:rPr>
          <w:lang w:val="fr-FR"/>
        </w:rPr>
        <w:t>’</w:t>
      </w:r>
      <w:r w:rsidR="002206FE">
        <w:rPr>
          <w:lang w:val="fr-FR"/>
        </w:rPr>
        <w:t>article 7 de la Convention en l</w:t>
      </w:r>
      <w:r w:rsidR="00A14196">
        <w:rPr>
          <w:lang w:val="fr-FR"/>
        </w:rPr>
        <w:t>’</w:t>
      </w:r>
      <w:r w:rsidR="002206FE">
        <w:rPr>
          <w:lang w:val="fr-FR"/>
        </w:rPr>
        <w:t>espèce</w:t>
      </w:r>
      <w:r>
        <w:rPr>
          <w:lang w:val="fr-FR"/>
        </w:rPr>
        <w:t>. Pour ce qui est des frais et dépens prétendument engagés par le requérant devant la Cour, le Gouvernement considère que ceux-ci sont excessifs et que le requérant a omis de les prouver.</w:t>
      </w:r>
    </w:p>
    <w:p w:rsidR="00F66B50" w:rsidRDefault="00F66B50" w:rsidP="00F66B50">
      <w:pPr>
        <w:pStyle w:val="ECHRPara"/>
        <w:rPr>
          <w:rStyle w:val="sb8d990e2"/>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84</w:t>
      </w:r>
      <w:r>
        <w:rPr>
          <w:lang w:val="fr-FR"/>
        </w:rPr>
        <w:fldChar w:fldCharType="end"/>
      </w:r>
      <w:r w:rsidRPr="00AD412E">
        <w:rPr>
          <w:lang w:val="fr-FR"/>
        </w:rPr>
        <w:t>.  Selon la jurisprudence de la Cour, un requérant ne peut obtenir le remboursement de ses frais et dépens que dans la mesure où se trouvent établis leur réalité, leur nécessité et le caractère raisonnable de leur taux. En l</w:t>
      </w:r>
      <w:r w:rsidR="00A14196">
        <w:rPr>
          <w:lang w:val="fr-FR"/>
        </w:rPr>
        <w:t>’</w:t>
      </w:r>
      <w:r>
        <w:rPr>
          <w:lang w:val="fr-FR"/>
        </w:rPr>
        <w:t xml:space="preserve">espèce, </w:t>
      </w:r>
      <w:r w:rsidRPr="00786632">
        <w:rPr>
          <w:rStyle w:val="sb8d990e2"/>
          <w:lang w:val="fr-FR"/>
        </w:rPr>
        <w:t>la Cour note que les doc</w:t>
      </w:r>
      <w:r>
        <w:rPr>
          <w:rStyle w:val="sb8d990e2"/>
          <w:lang w:val="fr-FR"/>
        </w:rPr>
        <w:t>uments présentés par le requérant à l</w:t>
      </w:r>
      <w:r w:rsidR="00A14196">
        <w:rPr>
          <w:rStyle w:val="sb8d990e2"/>
          <w:lang w:val="fr-FR"/>
        </w:rPr>
        <w:t>’</w:t>
      </w:r>
      <w:r>
        <w:rPr>
          <w:rStyle w:val="sb8d990e2"/>
          <w:lang w:val="fr-FR"/>
        </w:rPr>
        <w:t>appui de la</w:t>
      </w:r>
      <w:r w:rsidRPr="00786632">
        <w:rPr>
          <w:rStyle w:val="sb8d990e2"/>
          <w:lang w:val="fr-FR"/>
        </w:rPr>
        <w:t xml:space="preserve"> demande de remboursement des frais et dépens engagés devant les juridictions internes ne sont pas suffisamment détaillés. La Cour rejette donc la demande formulée par le requérant à ce titre.</w:t>
      </w:r>
    </w:p>
    <w:p w:rsidR="00F66B50" w:rsidRPr="00AD412E" w:rsidRDefault="00F66B50" w:rsidP="00F66B50">
      <w:pPr>
        <w:pStyle w:val="ECHRPara"/>
        <w:rPr>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3B0C14">
        <w:rPr>
          <w:rStyle w:val="sb8d990e2"/>
          <w:noProof/>
          <w:lang w:val="fr-FR"/>
        </w:rPr>
        <w:t>85</w:t>
      </w:r>
      <w:r>
        <w:rPr>
          <w:rStyle w:val="sb8d990e2"/>
          <w:lang w:val="fr-FR"/>
        </w:rPr>
        <w:fldChar w:fldCharType="end"/>
      </w:r>
      <w:r>
        <w:rPr>
          <w:rStyle w:val="sb8d990e2"/>
          <w:lang w:val="fr-FR"/>
        </w:rPr>
        <w:t xml:space="preserve">.  Quant </w:t>
      </w:r>
      <w:r w:rsidRPr="00CF4E5D">
        <w:rPr>
          <w:rStyle w:val="sb8d990e2"/>
          <w:lang w:val="fr-FR"/>
        </w:rPr>
        <w:t>frais et dépens engagés dans la procédure devant elle</w:t>
      </w:r>
      <w:r>
        <w:rPr>
          <w:rStyle w:val="sb8d990e2"/>
          <w:lang w:val="fr-FR"/>
        </w:rPr>
        <w:t>, l</w:t>
      </w:r>
      <w:r w:rsidRPr="00CF4E5D">
        <w:rPr>
          <w:rStyle w:val="sb8d990e2"/>
          <w:lang w:val="fr-FR"/>
        </w:rPr>
        <w:t xml:space="preserve">a Cour estime raisonnable la somme de </w:t>
      </w:r>
      <w:r>
        <w:rPr>
          <w:rStyle w:val="sb8d990e2"/>
          <w:lang w:val="fr-FR"/>
        </w:rPr>
        <w:t xml:space="preserve">2 500 </w:t>
      </w:r>
      <w:r w:rsidRPr="00CF4E5D">
        <w:rPr>
          <w:rStyle w:val="sb8d990e2"/>
          <w:lang w:val="fr-FR"/>
        </w:rPr>
        <w:t xml:space="preserve">EUR </w:t>
      </w:r>
      <w:r w:rsidRPr="00AD412E">
        <w:rPr>
          <w:lang w:val="fr-FR"/>
        </w:rPr>
        <w:t>et l</w:t>
      </w:r>
      <w:r w:rsidR="00A14196">
        <w:rPr>
          <w:lang w:val="fr-FR"/>
        </w:rPr>
        <w:t>’</w:t>
      </w:r>
      <w:r w:rsidRPr="00AD412E">
        <w:rPr>
          <w:lang w:val="fr-FR"/>
        </w:rPr>
        <w:t>accorde au requérant.</w:t>
      </w:r>
    </w:p>
    <w:p w:rsidR="00F66B50" w:rsidRPr="00AD412E" w:rsidRDefault="00F66B50" w:rsidP="00F66B50">
      <w:pPr>
        <w:pStyle w:val="ECHRHeading2"/>
        <w:outlineLvl w:val="0"/>
        <w:rPr>
          <w:lang w:val="fr-FR"/>
        </w:rPr>
      </w:pPr>
      <w:r w:rsidRPr="00AD412E">
        <w:rPr>
          <w:lang w:val="fr-FR"/>
        </w:rPr>
        <w:lastRenderedPageBreak/>
        <w:t>C.  Intérêts moratoires</w:t>
      </w:r>
    </w:p>
    <w:p w:rsidR="00F66B50" w:rsidRDefault="00F66B50" w:rsidP="00F66B50">
      <w:pPr>
        <w:pStyle w:val="ECHRPara"/>
        <w:rPr>
          <w:lang w:val="fr-FR"/>
        </w:rPr>
      </w:pPr>
      <w:r>
        <w:rPr>
          <w:lang w:val="fr-FR"/>
        </w:rPr>
        <w:fldChar w:fldCharType="begin"/>
      </w:r>
      <w:r>
        <w:rPr>
          <w:lang w:val="fr-FR"/>
        </w:rPr>
        <w:instrText xml:space="preserve"> SEQ level0 \*arabic </w:instrText>
      </w:r>
      <w:r>
        <w:rPr>
          <w:lang w:val="fr-FR"/>
        </w:rPr>
        <w:fldChar w:fldCharType="separate"/>
      </w:r>
      <w:r w:rsidR="003B0C14">
        <w:rPr>
          <w:noProof/>
          <w:lang w:val="fr-FR"/>
        </w:rPr>
        <w:t>86</w:t>
      </w:r>
      <w:r>
        <w:rPr>
          <w:lang w:val="fr-FR"/>
        </w:rPr>
        <w:fldChar w:fldCharType="end"/>
      </w:r>
      <w:r w:rsidRPr="00AD412E">
        <w:rPr>
          <w:lang w:val="fr-FR"/>
        </w:rPr>
        <w:t>.  La Cour juge approprié de calquer le taux des intérêts moratoires sur le taux d</w:t>
      </w:r>
      <w:r w:rsidR="00A14196">
        <w:rPr>
          <w:lang w:val="fr-FR"/>
        </w:rPr>
        <w:t>’</w:t>
      </w:r>
      <w:r w:rsidRPr="00AD412E">
        <w:rPr>
          <w:lang w:val="fr-FR"/>
        </w:rPr>
        <w:t>intérêt de la facilité de prêt marginal de la Banque centrale européenne majoré de trois points de pourcentage.</w:t>
      </w:r>
    </w:p>
    <w:p w:rsidR="00F66B50" w:rsidRPr="00AD412E" w:rsidRDefault="00F66B50" w:rsidP="00F66B50">
      <w:pPr>
        <w:pStyle w:val="ECHRTitle1"/>
        <w:rPr>
          <w:lang w:val="fr-FR"/>
        </w:rPr>
      </w:pPr>
      <w:r w:rsidRPr="00AD412E">
        <w:rPr>
          <w:lang w:val="fr-FR"/>
        </w:rPr>
        <w:t>PAR CES MOTIFS, LA COUR, À L</w:t>
      </w:r>
      <w:r w:rsidR="00A14196">
        <w:rPr>
          <w:lang w:val="fr-FR"/>
        </w:rPr>
        <w:t>’</w:t>
      </w:r>
      <w:r w:rsidRPr="00AD412E">
        <w:rPr>
          <w:lang w:val="fr-FR"/>
        </w:rPr>
        <w:t>UNANIMITÉ,</w:t>
      </w:r>
    </w:p>
    <w:p w:rsidR="005D44BD" w:rsidRDefault="00F66B50" w:rsidP="00F66B50">
      <w:pPr>
        <w:pStyle w:val="JuList"/>
        <w:rPr>
          <w:lang w:val="fr-FR"/>
        </w:rPr>
      </w:pPr>
      <w:r w:rsidRPr="00EF63C2">
        <w:rPr>
          <w:lang w:val="fr-FR"/>
        </w:rPr>
        <w:t>1.  </w:t>
      </w:r>
      <w:r w:rsidRPr="00EF63C2">
        <w:rPr>
          <w:i/>
          <w:lang w:val="fr-FR"/>
        </w:rPr>
        <w:t>Déclare</w:t>
      </w:r>
      <w:r w:rsidRPr="00EF63C2">
        <w:rPr>
          <w:lang w:val="fr-FR"/>
        </w:rPr>
        <w:t xml:space="preserve"> la requête recevable ;</w:t>
      </w:r>
    </w:p>
    <w:p w:rsidR="00F66B50" w:rsidRPr="00AD412E" w:rsidRDefault="00F66B50" w:rsidP="00F66B50">
      <w:pPr>
        <w:pStyle w:val="JuList"/>
        <w:rPr>
          <w:lang w:val="fr-FR"/>
        </w:rPr>
      </w:pPr>
    </w:p>
    <w:p w:rsidR="00F66B50" w:rsidRPr="00AD412E" w:rsidRDefault="00F66B50" w:rsidP="00F66B50">
      <w:pPr>
        <w:pStyle w:val="JuList"/>
        <w:rPr>
          <w:lang w:val="fr-FR"/>
        </w:rPr>
      </w:pPr>
      <w:r>
        <w:rPr>
          <w:lang w:val="fr-FR"/>
        </w:rPr>
        <w:t>2</w:t>
      </w:r>
      <w:r w:rsidRPr="00AD412E">
        <w:rPr>
          <w:lang w:val="fr-FR"/>
        </w:rPr>
        <w:t>.  </w:t>
      </w:r>
      <w:r w:rsidRPr="00AD412E">
        <w:rPr>
          <w:i/>
          <w:lang w:val="fr-FR"/>
        </w:rPr>
        <w:t>Dit</w:t>
      </w:r>
      <w:r w:rsidRPr="00AD412E">
        <w:rPr>
          <w:lang w:val="fr-FR"/>
        </w:rPr>
        <w:t xml:space="preserve"> qu</w:t>
      </w:r>
      <w:r w:rsidR="00A14196">
        <w:rPr>
          <w:lang w:val="fr-FR"/>
        </w:rPr>
        <w:t>’</w:t>
      </w:r>
      <w:r w:rsidRPr="00AD412E">
        <w:rPr>
          <w:lang w:val="fr-FR"/>
        </w:rPr>
        <w:t>il y a eu violation de l</w:t>
      </w:r>
      <w:r w:rsidR="00A14196">
        <w:rPr>
          <w:lang w:val="fr-FR"/>
        </w:rPr>
        <w:t>’</w:t>
      </w:r>
      <w:r w:rsidRPr="00AD412E">
        <w:rPr>
          <w:lang w:val="fr-FR"/>
        </w:rPr>
        <w:t xml:space="preserve">article </w:t>
      </w:r>
      <w:r>
        <w:rPr>
          <w:lang w:val="fr-FR"/>
        </w:rPr>
        <w:t>7</w:t>
      </w:r>
      <w:r w:rsidRPr="00AD412E">
        <w:rPr>
          <w:lang w:val="fr-FR"/>
        </w:rPr>
        <w:t xml:space="preserve"> de la Convention ;</w:t>
      </w:r>
    </w:p>
    <w:p w:rsidR="00F66B50" w:rsidRDefault="00F66B50" w:rsidP="00F66B50">
      <w:pPr>
        <w:pStyle w:val="JuList"/>
        <w:rPr>
          <w:lang w:val="fr-FR"/>
        </w:rPr>
      </w:pPr>
    </w:p>
    <w:p w:rsidR="00F66B50" w:rsidRPr="00AD412E" w:rsidRDefault="00F66B50" w:rsidP="00F66B50">
      <w:pPr>
        <w:pStyle w:val="JuList"/>
        <w:rPr>
          <w:lang w:val="fr-FR"/>
        </w:rPr>
      </w:pPr>
      <w:r>
        <w:rPr>
          <w:lang w:val="fr-FR"/>
        </w:rPr>
        <w:t>3</w:t>
      </w:r>
      <w:r w:rsidRPr="00AD412E">
        <w:rPr>
          <w:lang w:val="fr-FR"/>
        </w:rPr>
        <w:t>.  </w:t>
      </w:r>
      <w:r w:rsidRPr="00AD412E">
        <w:rPr>
          <w:i/>
          <w:lang w:val="fr-FR"/>
        </w:rPr>
        <w:t>Dit</w:t>
      </w:r>
    </w:p>
    <w:p w:rsidR="00F66B50" w:rsidRPr="00AD412E" w:rsidRDefault="00F66B50" w:rsidP="00F66B50">
      <w:pPr>
        <w:pStyle w:val="JuLista"/>
        <w:rPr>
          <w:lang w:val="fr-FR"/>
        </w:rPr>
      </w:pPr>
      <w:r w:rsidRPr="00AD412E">
        <w:rPr>
          <w:lang w:val="fr-FR"/>
        </w:rPr>
        <w:t>a)  que l</w:t>
      </w:r>
      <w:r w:rsidR="00A14196">
        <w:rPr>
          <w:lang w:val="fr-FR"/>
        </w:rPr>
        <w:t>’</w:t>
      </w:r>
      <w:r w:rsidRPr="00AD412E">
        <w:rPr>
          <w:lang w:val="fr-FR"/>
        </w:rPr>
        <w:t>État défendeur doit verser au requérant, dans les trois mois</w:t>
      </w:r>
      <w:r>
        <w:rPr>
          <w:lang w:val="fr-FR"/>
        </w:rPr>
        <w:t xml:space="preserve"> </w:t>
      </w:r>
      <w:r w:rsidRPr="00AD412E">
        <w:rPr>
          <w:lang w:val="fr-FR"/>
        </w:rPr>
        <w:t>à compter du jour où l</w:t>
      </w:r>
      <w:r w:rsidR="00A14196">
        <w:rPr>
          <w:lang w:val="fr-FR"/>
        </w:rPr>
        <w:t>’</w:t>
      </w:r>
      <w:r w:rsidRPr="00AD412E">
        <w:rPr>
          <w:lang w:val="fr-FR"/>
        </w:rPr>
        <w:t>arrêt sera devenu définitif conformément à l</w:t>
      </w:r>
      <w:r w:rsidR="00A14196">
        <w:rPr>
          <w:lang w:val="fr-FR"/>
        </w:rPr>
        <w:t>’</w:t>
      </w:r>
      <w:r w:rsidRPr="00AD412E">
        <w:rPr>
          <w:lang w:val="fr-FR"/>
        </w:rPr>
        <w:t>article 44 § 2 de la Convention, les sommes suivantes:</w:t>
      </w:r>
    </w:p>
    <w:p w:rsidR="00F66B50" w:rsidRPr="00AD412E" w:rsidRDefault="00F66B50" w:rsidP="00F66B50">
      <w:pPr>
        <w:pStyle w:val="JuListi"/>
        <w:rPr>
          <w:lang w:val="fr-FR" w:eastAsia="en-GB"/>
        </w:rPr>
      </w:pPr>
      <w:r w:rsidRPr="00AD412E">
        <w:rPr>
          <w:lang w:val="fr-FR" w:eastAsia="en-GB"/>
        </w:rPr>
        <w:t>i)  </w:t>
      </w:r>
      <w:r w:rsidR="009D4242">
        <w:rPr>
          <w:lang w:val="fr-FR" w:eastAsia="en-GB"/>
        </w:rPr>
        <w:t>10 000</w:t>
      </w:r>
      <w:r w:rsidRPr="00AD412E">
        <w:rPr>
          <w:lang w:val="fr-FR" w:eastAsia="en-GB"/>
        </w:rPr>
        <w:t xml:space="preserve"> EUR </w:t>
      </w:r>
      <w:r w:rsidR="00016B34">
        <w:rPr>
          <w:lang w:val="fr-FR" w:eastAsia="en-GB"/>
        </w:rPr>
        <w:t>(</w:t>
      </w:r>
      <w:r w:rsidR="009D4242">
        <w:rPr>
          <w:lang w:val="fr-FR" w:eastAsia="en-GB"/>
        </w:rPr>
        <w:t xml:space="preserve">dix-mille </w:t>
      </w:r>
      <w:r w:rsidRPr="00AD412E">
        <w:rPr>
          <w:lang w:val="fr-FR" w:eastAsia="en-GB"/>
        </w:rPr>
        <w:t>euros), plus tout montant pouvant être dû à titre d</w:t>
      </w:r>
      <w:r w:rsidR="00A14196">
        <w:rPr>
          <w:lang w:val="fr-FR" w:eastAsia="en-GB"/>
        </w:rPr>
        <w:t>’</w:t>
      </w:r>
      <w:r w:rsidRPr="00AD412E">
        <w:rPr>
          <w:lang w:val="fr-FR" w:eastAsia="en-GB"/>
        </w:rPr>
        <w:t>impôt, pour dommage moral ;</w:t>
      </w:r>
    </w:p>
    <w:p w:rsidR="00F66B50" w:rsidRPr="00AD412E" w:rsidRDefault="00F66B50" w:rsidP="00F66B50">
      <w:pPr>
        <w:pStyle w:val="JuListi"/>
        <w:rPr>
          <w:lang w:val="fr-FR" w:eastAsia="en-GB"/>
        </w:rPr>
      </w:pPr>
      <w:r w:rsidRPr="00AD412E">
        <w:rPr>
          <w:lang w:val="fr-FR" w:eastAsia="en-GB"/>
        </w:rPr>
        <w:t>ii)  </w:t>
      </w:r>
      <w:r>
        <w:rPr>
          <w:lang w:val="fr-FR" w:eastAsia="en-GB"/>
        </w:rPr>
        <w:t>2 500</w:t>
      </w:r>
      <w:r w:rsidRPr="00AD412E">
        <w:rPr>
          <w:lang w:val="fr-FR" w:eastAsia="en-GB"/>
        </w:rPr>
        <w:t xml:space="preserve"> EUR (</w:t>
      </w:r>
      <w:r w:rsidR="00016B34">
        <w:rPr>
          <w:lang w:val="fr-FR" w:eastAsia="en-GB"/>
        </w:rPr>
        <w:t>deux-mille-</w:t>
      </w:r>
      <w:r>
        <w:rPr>
          <w:lang w:val="fr-FR" w:eastAsia="en-GB"/>
        </w:rPr>
        <w:t>cinq-cents</w:t>
      </w:r>
      <w:r w:rsidRPr="00AD412E">
        <w:rPr>
          <w:lang w:val="fr-FR" w:eastAsia="en-GB"/>
        </w:rPr>
        <w:t xml:space="preserve"> euros), plus tout montant pouvant être dû à titre d</w:t>
      </w:r>
      <w:r w:rsidR="00A14196">
        <w:rPr>
          <w:lang w:val="fr-FR" w:eastAsia="en-GB"/>
        </w:rPr>
        <w:t>’</w:t>
      </w:r>
      <w:r w:rsidRPr="00AD412E">
        <w:rPr>
          <w:lang w:val="fr-FR" w:eastAsia="en-GB"/>
        </w:rPr>
        <w:t xml:space="preserve">impôt par le requérant, pour </w:t>
      </w:r>
      <w:r>
        <w:rPr>
          <w:lang w:val="fr-FR" w:eastAsia="en-GB"/>
        </w:rPr>
        <w:t xml:space="preserve">les </w:t>
      </w:r>
      <w:r w:rsidRPr="00AD412E">
        <w:rPr>
          <w:lang w:val="fr-FR" w:eastAsia="en-GB"/>
        </w:rPr>
        <w:t>frais et dépens</w:t>
      </w:r>
      <w:r>
        <w:rPr>
          <w:lang w:val="fr-FR" w:eastAsia="en-GB"/>
        </w:rPr>
        <w:t xml:space="preserve"> encourus devant la Cour</w:t>
      </w:r>
      <w:r w:rsidRPr="00AD412E">
        <w:rPr>
          <w:lang w:val="fr-FR" w:eastAsia="en-GB"/>
        </w:rPr>
        <w:t> ;</w:t>
      </w:r>
    </w:p>
    <w:p w:rsidR="00F66B50" w:rsidRPr="00AD412E" w:rsidRDefault="00F66B50" w:rsidP="00F66B50">
      <w:pPr>
        <w:pStyle w:val="JuLista"/>
        <w:rPr>
          <w:lang w:val="fr-FR"/>
        </w:rPr>
      </w:pPr>
      <w:r w:rsidRPr="00AD412E">
        <w:rPr>
          <w:lang w:val="fr-FR"/>
        </w:rPr>
        <w:t>b)  qu</w:t>
      </w:r>
      <w:r w:rsidR="00A14196">
        <w:rPr>
          <w:lang w:val="fr-FR"/>
        </w:rPr>
        <w:t>’</w:t>
      </w:r>
      <w:r w:rsidRPr="00AD412E">
        <w:rPr>
          <w:lang w:val="fr-FR"/>
        </w:rPr>
        <w:t>à compter de l</w:t>
      </w:r>
      <w:r w:rsidR="00A14196">
        <w:rPr>
          <w:lang w:val="fr-FR"/>
        </w:rPr>
        <w:t>’</w:t>
      </w:r>
      <w:r w:rsidRPr="00AD412E">
        <w:rPr>
          <w:lang w:val="fr-FR"/>
        </w:rPr>
        <w:t>expiration dudit délai et jusqu</w:t>
      </w:r>
      <w:r w:rsidR="00A14196">
        <w:rPr>
          <w:lang w:val="fr-FR"/>
        </w:rPr>
        <w:t>’</w:t>
      </w:r>
      <w:r w:rsidRPr="00AD412E">
        <w:rPr>
          <w:lang w:val="fr-FR"/>
        </w:rPr>
        <w:t>au versement, ces montants seront à majorer d</w:t>
      </w:r>
      <w:r w:rsidR="00A14196">
        <w:rPr>
          <w:lang w:val="fr-FR"/>
        </w:rPr>
        <w:t>’</w:t>
      </w:r>
      <w:r w:rsidRPr="00AD412E">
        <w:rPr>
          <w:lang w:val="fr-FR"/>
        </w:rPr>
        <w:t>un intérêt simple à un taux égal à celui de la facilité de prêt marginal de la Banque centrale européenne applicable pendant cette période, augmenté de trois points de pourcentage ;</w:t>
      </w:r>
    </w:p>
    <w:p w:rsidR="00F66B50" w:rsidRPr="00AD412E" w:rsidRDefault="00F66B50" w:rsidP="00F66B50">
      <w:pPr>
        <w:pStyle w:val="JuLista"/>
        <w:rPr>
          <w:lang w:val="fr-FR"/>
        </w:rPr>
      </w:pPr>
    </w:p>
    <w:p w:rsidR="00F66B50" w:rsidRPr="00AD412E" w:rsidRDefault="00F66B50" w:rsidP="00F66B50">
      <w:pPr>
        <w:pStyle w:val="JuList"/>
        <w:rPr>
          <w:lang w:val="fr-FR"/>
        </w:rPr>
      </w:pPr>
      <w:r>
        <w:rPr>
          <w:lang w:val="fr-FR"/>
        </w:rPr>
        <w:t>4</w:t>
      </w:r>
      <w:r w:rsidRPr="00AD412E">
        <w:rPr>
          <w:lang w:val="fr-FR"/>
        </w:rPr>
        <w:t>.  </w:t>
      </w:r>
      <w:r w:rsidRPr="00AD412E">
        <w:rPr>
          <w:i/>
          <w:lang w:val="fr-FR"/>
        </w:rPr>
        <w:t>Rejette</w:t>
      </w:r>
      <w:r w:rsidRPr="00AD412E">
        <w:rPr>
          <w:lang w:val="fr-FR"/>
        </w:rPr>
        <w:t xml:space="preserve"> la demande de satisfaction équitable pour le surplus.</w:t>
      </w:r>
    </w:p>
    <w:p w:rsidR="00F66B50" w:rsidRPr="00AD412E" w:rsidRDefault="00F66B50" w:rsidP="00F66B50">
      <w:pPr>
        <w:pStyle w:val="JuParaLast"/>
        <w:rPr>
          <w:lang w:val="fr-FR"/>
        </w:rPr>
      </w:pPr>
      <w:r w:rsidRPr="00AD412E">
        <w:rPr>
          <w:lang w:val="fr-FR"/>
        </w:rPr>
        <w:t>Fait en françai</w:t>
      </w:r>
      <w:r w:rsidR="001F6948">
        <w:rPr>
          <w:lang w:val="fr-FR"/>
        </w:rPr>
        <w:t>s, puis communiqué par écrit le 14 avril 2015</w:t>
      </w:r>
      <w:r w:rsidRPr="00AD412E">
        <w:rPr>
          <w:lang w:val="fr-FR"/>
        </w:rPr>
        <w:t>, en application de l</w:t>
      </w:r>
      <w:r w:rsidR="00A14196">
        <w:rPr>
          <w:lang w:val="fr-FR"/>
        </w:rPr>
        <w:t>’</w:t>
      </w:r>
      <w:r w:rsidRPr="00AD412E">
        <w:rPr>
          <w:lang w:val="fr-FR"/>
        </w:rPr>
        <w:t>article 77 §§ 2 et 3 du règlement.</w:t>
      </w:r>
    </w:p>
    <w:p w:rsidR="004D15F3" w:rsidRDefault="00BA117C" w:rsidP="00B86E2A">
      <w:pPr>
        <w:pStyle w:val="JuSigned"/>
        <w:keepNext/>
        <w:keepLines/>
        <w:rPr>
          <w:lang w:val="fr-FR"/>
        </w:rPr>
      </w:pPr>
      <w:r w:rsidRPr="00DD4AAB">
        <w:rPr>
          <w:lang w:val="fr-FR"/>
        </w:rPr>
        <w:tab/>
      </w:r>
      <w:r>
        <w:rPr>
          <w:lang w:val="fr-FR"/>
        </w:rPr>
        <w:t>Françoise</w:t>
      </w:r>
      <w:r w:rsidRPr="00DD4AAB">
        <w:rPr>
          <w:lang w:val="fr-FR"/>
        </w:rPr>
        <w:t xml:space="preserve"> </w:t>
      </w:r>
      <w:r>
        <w:rPr>
          <w:lang w:val="fr-FR"/>
        </w:rPr>
        <w:t>Elens-Passos</w:t>
      </w:r>
      <w:r w:rsidR="00E77CB3" w:rsidRPr="00DD4AAB">
        <w:rPr>
          <w:lang w:val="fr-FR"/>
        </w:rPr>
        <w:tab/>
      </w:r>
      <w:r w:rsidR="00B567F6">
        <w:rPr>
          <w:lang w:val="fr-FR"/>
        </w:rPr>
        <w:t>Päivi</w:t>
      </w:r>
      <w:r w:rsidR="00B567F6" w:rsidRPr="0072720E">
        <w:rPr>
          <w:lang w:val="fr-FR"/>
        </w:rPr>
        <w:t xml:space="preserve"> </w:t>
      </w:r>
      <w:r w:rsidR="00B567F6">
        <w:rPr>
          <w:lang w:val="fr-FR"/>
        </w:rPr>
        <w:t>Hirvelä</w:t>
      </w:r>
      <w:r w:rsidR="00E77CB3" w:rsidRPr="00DD4AAB">
        <w:rPr>
          <w:lang w:val="fr-FR"/>
        </w:rPr>
        <w:br/>
      </w:r>
      <w:r w:rsidR="00E77CB3" w:rsidRPr="00DD4AAB">
        <w:rPr>
          <w:lang w:val="fr-FR"/>
        </w:rPr>
        <w:tab/>
      </w:r>
      <w:r w:rsidRPr="00DD4AAB">
        <w:rPr>
          <w:lang w:val="fr-FR"/>
        </w:rPr>
        <w:t>Greffière</w:t>
      </w:r>
      <w:r w:rsidR="00E77CB3" w:rsidRPr="00DD4AAB">
        <w:rPr>
          <w:lang w:val="fr-FR"/>
        </w:rPr>
        <w:tab/>
      </w:r>
      <w:r w:rsidRPr="00DD4AAB">
        <w:rPr>
          <w:lang w:val="fr-FR"/>
        </w:rPr>
        <w:t>Présidente</w:t>
      </w:r>
    </w:p>
    <w:p w:rsidR="00117E94" w:rsidRPr="00117E94" w:rsidRDefault="00117E94" w:rsidP="00117E94">
      <w:pPr>
        <w:pStyle w:val="JuParaLast"/>
        <w:rPr>
          <w:lang w:val="fr-FR"/>
        </w:rPr>
      </w:pPr>
    </w:p>
    <w:sectPr w:rsidR="00117E94" w:rsidRPr="00117E94" w:rsidSect="00E40263">
      <w:headerReference w:type="even" r:id="rId27"/>
      <w:headerReference w:type="default" r:id="rId28"/>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15" w:rsidRDefault="00AB4B15" w:rsidP="00E77CB3">
      <w:r>
        <w:separator/>
      </w:r>
    </w:p>
  </w:endnote>
  <w:endnote w:type="continuationSeparator" w:id="0">
    <w:p w:rsidR="00AB4B15" w:rsidRDefault="00AB4B15"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3" w:rsidRPr="00150BFA" w:rsidRDefault="00E40263" w:rsidP="0020718E">
    <w:pPr>
      <w:jc w:val="center"/>
    </w:pPr>
    <w:r>
      <w:rPr>
        <w:noProof/>
        <w:lang w:val="it-IT" w:eastAsia="it-IT"/>
      </w:rPr>
      <w:drawing>
        <wp:inline distT="0" distB="0" distL="0" distR="0" wp14:anchorId="22D63FD1" wp14:editId="105B0A6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40263" w:rsidRDefault="00E402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15" w:rsidRDefault="00AB4B15" w:rsidP="00E77CB3">
      <w:r>
        <w:separator/>
      </w:r>
    </w:p>
  </w:footnote>
  <w:footnote w:type="continuationSeparator" w:id="0">
    <w:p w:rsidR="00AB4B15" w:rsidRDefault="00AB4B15"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15" w:rsidRPr="00E40263" w:rsidRDefault="00AB4B15" w:rsidP="00E4026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3" w:rsidRPr="00A45145" w:rsidRDefault="00E40263" w:rsidP="00A45145">
    <w:pPr>
      <w:jc w:val="center"/>
    </w:pPr>
    <w:r>
      <w:rPr>
        <w:noProof/>
        <w:lang w:val="it-IT" w:eastAsia="it-IT"/>
      </w:rPr>
      <w:drawing>
        <wp:inline distT="0" distB="0" distL="0" distR="0" wp14:anchorId="37F659B6" wp14:editId="00DC69D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B4B15" w:rsidRDefault="00AB4B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3" w:rsidRPr="00117E94" w:rsidRDefault="00E40263" w:rsidP="00C611D8">
    <w:pPr>
      <w:pStyle w:val="ECHRHeader"/>
      <w:rPr>
        <w:lang w:val="fr-FR"/>
      </w:rPr>
    </w:pPr>
    <w:r>
      <w:rPr>
        <w:rStyle w:val="Numeropagina"/>
      </w:rPr>
      <w:fldChar w:fldCharType="begin"/>
    </w:r>
    <w:r w:rsidRPr="00117E94">
      <w:rPr>
        <w:rStyle w:val="Numeropagina"/>
        <w:lang w:val="fr-FR"/>
      </w:rPr>
      <w:instrText xml:space="preserve"> PAGE </w:instrText>
    </w:r>
    <w:r>
      <w:rPr>
        <w:rStyle w:val="Numeropagina"/>
      </w:rPr>
      <w:fldChar w:fldCharType="separate"/>
    </w:r>
    <w:r w:rsidR="006278F0">
      <w:rPr>
        <w:rStyle w:val="Numeropagina"/>
        <w:noProof/>
        <w:lang w:val="fr-FR"/>
      </w:rPr>
      <w:t>16</w:t>
    </w:r>
    <w:r>
      <w:rPr>
        <w:rStyle w:val="Numeropagina"/>
      </w:rPr>
      <w:fldChar w:fldCharType="end"/>
    </w:r>
    <w:r w:rsidRPr="00117E94">
      <w:rPr>
        <w:rStyle w:val="Numeropagina"/>
        <w:lang w:val="fr-FR"/>
      </w:rPr>
      <w:tab/>
    </w:r>
    <w:r w:rsidRPr="00117E94">
      <w:rPr>
        <w:noProof/>
        <w:lang w:val="fr-FR"/>
      </w:rPr>
      <w:t>ARRÊT</w:t>
    </w:r>
    <w:r w:rsidRPr="00117E94">
      <w:rPr>
        <w:lang w:val="fr-FR"/>
      </w:rPr>
      <w:t xml:space="preserve"> CONTRADA c. ITALIE</w:t>
    </w:r>
    <w:r w:rsidR="00117E94" w:rsidRPr="00117E94">
      <w:rPr>
        <w:lang w:val="fr-FR"/>
      </w:rPr>
      <w:t xml:space="preserve"> (N°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63" w:rsidRPr="00DD5146" w:rsidRDefault="00E40263" w:rsidP="00C63990">
    <w:pPr>
      <w:pStyle w:val="ECHRHeader"/>
    </w:pPr>
    <w:r w:rsidRPr="00C63990">
      <w:rPr>
        <w:lang w:val="fr-FR"/>
      </w:rPr>
      <w:tab/>
    </w:r>
    <w:r>
      <w:rPr>
        <w:noProof/>
        <w:lang w:val="en-GB"/>
      </w:rPr>
      <w:t>ARRÊT</w:t>
    </w:r>
    <w:r w:rsidRPr="00EB7E63">
      <w:rPr>
        <w:lang w:val="en-GB"/>
      </w:rPr>
      <w:t xml:space="preserve"> </w:t>
    </w:r>
    <w:r>
      <w:rPr>
        <w:lang w:val="en-GB"/>
      </w:rPr>
      <w:t>CONTRADA c. ITALIE</w:t>
    </w:r>
    <w:r w:rsidR="00117E94">
      <w:rPr>
        <w:lang w:val="en-GB"/>
      </w:rPr>
      <w:t xml:space="preserve"> (N° 3)</w:t>
    </w:r>
    <w:r w:rsidRPr="00EB7E63">
      <w:rPr>
        <w:lang w:val="en-GB"/>
      </w:rPr>
      <w:tab/>
    </w:r>
    <w:r>
      <w:rPr>
        <w:rStyle w:val="Numeropagina"/>
      </w:rPr>
      <w:fldChar w:fldCharType="begin"/>
    </w:r>
    <w:r>
      <w:rPr>
        <w:rStyle w:val="Numeropagina"/>
      </w:rPr>
      <w:instrText xml:space="preserve"> PAGE </w:instrText>
    </w:r>
    <w:r>
      <w:rPr>
        <w:rStyle w:val="Numeropagina"/>
      </w:rPr>
      <w:fldChar w:fldCharType="separate"/>
    </w:r>
    <w:r w:rsidR="006278F0">
      <w:rPr>
        <w:rStyle w:val="Numeropagina"/>
        <w:noProof/>
      </w:rPr>
      <w:t>15</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pStyle w:val="Titolo1"/>
      <w:lvlText w:val="%1)"/>
      <w:lvlJc w:val="left"/>
      <w:pPr>
        <w:ind w:left="360" w:hanging="360"/>
      </w:pPr>
    </w:lvl>
    <w:lvl w:ilvl="1">
      <w:start w:val="1"/>
      <w:numFmt w:val="lowerLetter"/>
      <w:pStyle w:val="Titolo2"/>
      <w:lvlText w:val="%2)"/>
      <w:lvlJc w:val="left"/>
      <w:pPr>
        <w:ind w:left="720" w:hanging="360"/>
      </w:pPr>
    </w:lvl>
    <w:lvl w:ilvl="2">
      <w:start w:val="1"/>
      <w:numFmt w:val="lowerRoman"/>
      <w:pStyle w:val="Titolo3"/>
      <w:lvlText w:val="%3)"/>
      <w:lvlJc w:val="left"/>
      <w:pPr>
        <w:ind w:left="1080" w:hanging="360"/>
      </w:pPr>
    </w:lvl>
    <w:lvl w:ilvl="3">
      <w:start w:val="1"/>
      <w:numFmt w:val="decimal"/>
      <w:pStyle w:val="Titolo4"/>
      <w:lvlText w:val="(%4)"/>
      <w:lvlJc w:val="left"/>
      <w:pPr>
        <w:ind w:left="1440" w:hanging="360"/>
      </w:pPr>
    </w:lvl>
    <w:lvl w:ilvl="4">
      <w:start w:val="1"/>
      <w:numFmt w:val="lowerLetter"/>
      <w:lvlText w:val="(%5)"/>
      <w:lvlJc w:val="left"/>
      <w:pPr>
        <w:ind w:left="1800" w:hanging="360"/>
      </w:pPr>
    </w:lvl>
    <w:lvl w:ilvl="5">
      <w:start w:val="1"/>
      <w:numFmt w:val="lowerRoman"/>
      <w:pStyle w:val="Titolo6"/>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BA117C"/>
    <w:rsid w:val="00002C46"/>
    <w:rsid w:val="000041F8"/>
    <w:rsid w:val="000042A8"/>
    <w:rsid w:val="00004308"/>
    <w:rsid w:val="00005BF0"/>
    <w:rsid w:val="00007154"/>
    <w:rsid w:val="00007F0E"/>
    <w:rsid w:val="000103AE"/>
    <w:rsid w:val="00011D69"/>
    <w:rsid w:val="00012AD3"/>
    <w:rsid w:val="00015696"/>
    <w:rsid w:val="00015C2D"/>
    <w:rsid w:val="00015F00"/>
    <w:rsid w:val="00016B34"/>
    <w:rsid w:val="00022C1D"/>
    <w:rsid w:val="0003040D"/>
    <w:rsid w:val="00031858"/>
    <w:rsid w:val="00034987"/>
    <w:rsid w:val="000358E6"/>
    <w:rsid w:val="000413D2"/>
    <w:rsid w:val="00044803"/>
    <w:rsid w:val="000479A3"/>
    <w:rsid w:val="00052E4B"/>
    <w:rsid w:val="00055609"/>
    <w:rsid w:val="00057211"/>
    <w:rsid w:val="000602DF"/>
    <w:rsid w:val="00061B05"/>
    <w:rsid w:val="000632D5"/>
    <w:rsid w:val="000644EE"/>
    <w:rsid w:val="00066A71"/>
    <w:rsid w:val="00071CB3"/>
    <w:rsid w:val="00073621"/>
    <w:rsid w:val="00083FF8"/>
    <w:rsid w:val="00086E5A"/>
    <w:rsid w:val="000925AD"/>
    <w:rsid w:val="00095783"/>
    <w:rsid w:val="000A24EB"/>
    <w:rsid w:val="000B6923"/>
    <w:rsid w:val="000B7D23"/>
    <w:rsid w:val="000C048A"/>
    <w:rsid w:val="000C2A75"/>
    <w:rsid w:val="000C3C88"/>
    <w:rsid w:val="000C5F3C"/>
    <w:rsid w:val="000C6DCC"/>
    <w:rsid w:val="000D1177"/>
    <w:rsid w:val="000D47AA"/>
    <w:rsid w:val="000D4B78"/>
    <w:rsid w:val="000D721F"/>
    <w:rsid w:val="000E069B"/>
    <w:rsid w:val="000E0E82"/>
    <w:rsid w:val="000E1DC5"/>
    <w:rsid w:val="000E223F"/>
    <w:rsid w:val="000E7D45"/>
    <w:rsid w:val="000F40C1"/>
    <w:rsid w:val="000F61DB"/>
    <w:rsid w:val="000F7851"/>
    <w:rsid w:val="00101531"/>
    <w:rsid w:val="00104E23"/>
    <w:rsid w:val="001117A5"/>
    <w:rsid w:val="00111B0C"/>
    <w:rsid w:val="00111CAE"/>
    <w:rsid w:val="00117E94"/>
    <w:rsid w:val="00120740"/>
    <w:rsid w:val="00120D6C"/>
    <w:rsid w:val="001257EC"/>
    <w:rsid w:val="001264AA"/>
    <w:rsid w:val="00133D33"/>
    <w:rsid w:val="0013401F"/>
    <w:rsid w:val="00134D64"/>
    <w:rsid w:val="00135A30"/>
    <w:rsid w:val="0013612C"/>
    <w:rsid w:val="00137FF6"/>
    <w:rsid w:val="00141650"/>
    <w:rsid w:val="00142885"/>
    <w:rsid w:val="00161559"/>
    <w:rsid w:val="00162A12"/>
    <w:rsid w:val="001648D0"/>
    <w:rsid w:val="00166530"/>
    <w:rsid w:val="001832BD"/>
    <w:rsid w:val="00183F4C"/>
    <w:rsid w:val="001943B5"/>
    <w:rsid w:val="00195134"/>
    <w:rsid w:val="00196827"/>
    <w:rsid w:val="00197322"/>
    <w:rsid w:val="001A0739"/>
    <w:rsid w:val="001A145B"/>
    <w:rsid w:val="001A674C"/>
    <w:rsid w:val="001B1512"/>
    <w:rsid w:val="001B3736"/>
    <w:rsid w:val="001B3B24"/>
    <w:rsid w:val="001C0F98"/>
    <w:rsid w:val="001C2A42"/>
    <w:rsid w:val="001C3389"/>
    <w:rsid w:val="001D63ED"/>
    <w:rsid w:val="001D7348"/>
    <w:rsid w:val="001E0171"/>
    <w:rsid w:val="001E035B"/>
    <w:rsid w:val="001E0961"/>
    <w:rsid w:val="001E3EAE"/>
    <w:rsid w:val="001E453B"/>
    <w:rsid w:val="001E6F32"/>
    <w:rsid w:val="001F2145"/>
    <w:rsid w:val="001F2DD1"/>
    <w:rsid w:val="001F6262"/>
    <w:rsid w:val="001F67B0"/>
    <w:rsid w:val="001F6948"/>
    <w:rsid w:val="001F7B3D"/>
    <w:rsid w:val="00200F79"/>
    <w:rsid w:val="002010C3"/>
    <w:rsid w:val="00205F9F"/>
    <w:rsid w:val="00210338"/>
    <w:rsid w:val="002115FC"/>
    <w:rsid w:val="00211AFD"/>
    <w:rsid w:val="00213941"/>
    <w:rsid w:val="0021423C"/>
    <w:rsid w:val="00214C11"/>
    <w:rsid w:val="00217548"/>
    <w:rsid w:val="002206FE"/>
    <w:rsid w:val="00230D00"/>
    <w:rsid w:val="00231DF7"/>
    <w:rsid w:val="00231FD1"/>
    <w:rsid w:val="002339E0"/>
    <w:rsid w:val="00233CF8"/>
    <w:rsid w:val="002349CB"/>
    <w:rsid w:val="0023575D"/>
    <w:rsid w:val="002359E3"/>
    <w:rsid w:val="00236C50"/>
    <w:rsid w:val="00237148"/>
    <w:rsid w:val="00240287"/>
    <w:rsid w:val="002411FF"/>
    <w:rsid w:val="002417CE"/>
    <w:rsid w:val="0024222D"/>
    <w:rsid w:val="00244B0E"/>
    <w:rsid w:val="00244F6C"/>
    <w:rsid w:val="002532C5"/>
    <w:rsid w:val="002545A8"/>
    <w:rsid w:val="00260C03"/>
    <w:rsid w:val="0026540E"/>
    <w:rsid w:val="00275123"/>
    <w:rsid w:val="00282240"/>
    <w:rsid w:val="00282A5F"/>
    <w:rsid w:val="00286EB4"/>
    <w:rsid w:val="00290F8F"/>
    <w:rsid w:val="002922A4"/>
    <w:rsid w:val="002948AD"/>
    <w:rsid w:val="002A01CC"/>
    <w:rsid w:val="002A302F"/>
    <w:rsid w:val="002A61B1"/>
    <w:rsid w:val="002A663C"/>
    <w:rsid w:val="002B444B"/>
    <w:rsid w:val="002B49E6"/>
    <w:rsid w:val="002B5887"/>
    <w:rsid w:val="002C0E27"/>
    <w:rsid w:val="002C3040"/>
    <w:rsid w:val="002C518B"/>
    <w:rsid w:val="002D022D"/>
    <w:rsid w:val="002D24BB"/>
    <w:rsid w:val="002D40E3"/>
    <w:rsid w:val="002E02CB"/>
    <w:rsid w:val="002F1195"/>
    <w:rsid w:val="002F2AF7"/>
    <w:rsid w:val="002F52F1"/>
    <w:rsid w:val="002F7E1C"/>
    <w:rsid w:val="00301A75"/>
    <w:rsid w:val="00302F70"/>
    <w:rsid w:val="0030336F"/>
    <w:rsid w:val="0030375E"/>
    <w:rsid w:val="00303F9B"/>
    <w:rsid w:val="003041DE"/>
    <w:rsid w:val="003043B7"/>
    <w:rsid w:val="00312A30"/>
    <w:rsid w:val="00314829"/>
    <w:rsid w:val="00320F72"/>
    <w:rsid w:val="0032260A"/>
    <w:rsid w:val="0032463E"/>
    <w:rsid w:val="00326224"/>
    <w:rsid w:val="00337EE4"/>
    <w:rsid w:val="00340FFD"/>
    <w:rsid w:val="003506B1"/>
    <w:rsid w:val="00350AF0"/>
    <w:rsid w:val="00350DEC"/>
    <w:rsid w:val="00354F8C"/>
    <w:rsid w:val="00356AC7"/>
    <w:rsid w:val="00356EC2"/>
    <w:rsid w:val="00357FD1"/>
    <w:rsid w:val="003609FA"/>
    <w:rsid w:val="00362521"/>
    <w:rsid w:val="003710C8"/>
    <w:rsid w:val="00373411"/>
    <w:rsid w:val="003750BE"/>
    <w:rsid w:val="00387B9D"/>
    <w:rsid w:val="003913A0"/>
    <w:rsid w:val="00391A06"/>
    <w:rsid w:val="0039364F"/>
    <w:rsid w:val="00396686"/>
    <w:rsid w:val="0039778E"/>
    <w:rsid w:val="00397B37"/>
    <w:rsid w:val="003A0E74"/>
    <w:rsid w:val="003A26C9"/>
    <w:rsid w:val="003B0C14"/>
    <w:rsid w:val="003B2814"/>
    <w:rsid w:val="003B4941"/>
    <w:rsid w:val="003C2F82"/>
    <w:rsid w:val="003C5714"/>
    <w:rsid w:val="003C6B9F"/>
    <w:rsid w:val="003C6E2A"/>
    <w:rsid w:val="003D0299"/>
    <w:rsid w:val="003D25C5"/>
    <w:rsid w:val="003D3EC4"/>
    <w:rsid w:val="003D4AF0"/>
    <w:rsid w:val="003D5F68"/>
    <w:rsid w:val="003E6D80"/>
    <w:rsid w:val="003E7FD5"/>
    <w:rsid w:val="003F05FA"/>
    <w:rsid w:val="003F1F7B"/>
    <w:rsid w:val="003F244A"/>
    <w:rsid w:val="003F30B8"/>
    <w:rsid w:val="003F3EC2"/>
    <w:rsid w:val="003F45D1"/>
    <w:rsid w:val="003F4C45"/>
    <w:rsid w:val="003F5F7B"/>
    <w:rsid w:val="003F7D64"/>
    <w:rsid w:val="004057F4"/>
    <w:rsid w:val="00414300"/>
    <w:rsid w:val="004204CC"/>
    <w:rsid w:val="00424F9E"/>
    <w:rsid w:val="00425241"/>
    <w:rsid w:val="00425C67"/>
    <w:rsid w:val="00427E7A"/>
    <w:rsid w:val="00436C49"/>
    <w:rsid w:val="00442423"/>
    <w:rsid w:val="004452CA"/>
    <w:rsid w:val="00445366"/>
    <w:rsid w:val="00447F5B"/>
    <w:rsid w:val="00461DB0"/>
    <w:rsid w:val="004633F7"/>
    <w:rsid w:val="00463926"/>
    <w:rsid w:val="00464C9A"/>
    <w:rsid w:val="00466833"/>
    <w:rsid w:val="00470E7E"/>
    <w:rsid w:val="004741F5"/>
    <w:rsid w:val="00474F3D"/>
    <w:rsid w:val="00477E3A"/>
    <w:rsid w:val="00482DE5"/>
    <w:rsid w:val="00483E5F"/>
    <w:rsid w:val="00485FF9"/>
    <w:rsid w:val="004907F0"/>
    <w:rsid w:val="0049140B"/>
    <w:rsid w:val="00491CC6"/>
    <w:rsid w:val="004922F9"/>
    <w:rsid w:val="004923A5"/>
    <w:rsid w:val="00496BFB"/>
    <w:rsid w:val="004A15C7"/>
    <w:rsid w:val="004B013B"/>
    <w:rsid w:val="004B112B"/>
    <w:rsid w:val="004B3A19"/>
    <w:rsid w:val="004B7F9C"/>
    <w:rsid w:val="004C01E4"/>
    <w:rsid w:val="004C086C"/>
    <w:rsid w:val="004C1F56"/>
    <w:rsid w:val="004C27BC"/>
    <w:rsid w:val="004C5A54"/>
    <w:rsid w:val="004D106A"/>
    <w:rsid w:val="004D15F3"/>
    <w:rsid w:val="004D5311"/>
    <w:rsid w:val="004D5DCC"/>
    <w:rsid w:val="004E5CF1"/>
    <w:rsid w:val="004F10AF"/>
    <w:rsid w:val="004F11A4"/>
    <w:rsid w:val="004F2389"/>
    <w:rsid w:val="004F2979"/>
    <w:rsid w:val="004F304D"/>
    <w:rsid w:val="004F61BE"/>
    <w:rsid w:val="004F66B1"/>
    <w:rsid w:val="0051152A"/>
    <w:rsid w:val="00511BDD"/>
    <w:rsid w:val="00511C07"/>
    <w:rsid w:val="00514352"/>
    <w:rsid w:val="00516854"/>
    <w:rsid w:val="005173A6"/>
    <w:rsid w:val="00520BAA"/>
    <w:rsid w:val="00525208"/>
    <w:rsid w:val="005257A5"/>
    <w:rsid w:val="00525986"/>
    <w:rsid w:val="005264C0"/>
    <w:rsid w:val="00526A8A"/>
    <w:rsid w:val="00530AE0"/>
    <w:rsid w:val="00531DF2"/>
    <w:rsid w:val="00534D33"/>
    <w:rsid w:val="00535B68"/>
    <w:rsid w:val="00540760"/>
    <w:rsid w:val="005422DE"/>
    <w:rsid w:val="005442EE"/>
    <w:rsid w:val="005470FC"/>
    <w:rsid w:val="00547353"/>
    <w:rsid w:val="005474E7"/>
    <w:rsid w:val="00547806"/>
    <w:rsid w:val="005512A3"/>
    <w:rsid w:val="00551571"/>
    <w:rsid w:val="0055601A"/>
    <w:rsid w:val="005578CE"/>
    <w:rsid w:val="0056003F"/>
    <w:rsid w:val="00562781"/>
    <w:rsid w:val="00565727"/>
    <w:rsid w:val="00565DB4"/>
    <w:rsid w:val="0057271C"/>
    <w:rsid w:val="00572845"/>
    <w:rsid w:val="005742E4"/>
    <w:rsid w:val="005753A8"/>
    <w:rsid w:val="00592772"/>
    <w:rsid w:val="005938AB"/>
    <w:rsid w:val="0059539C"/>
    <w:rsid w:val="0059574A"/>
    <w:rsid w:val="00596468"/>
    <w:rsid w:val="005A02CB"/>
    <w:rsid w:val="005A1B9B"/>
    <w:rsid w:val="005A481C"/>
    <w:rsid w:val="005A6751"/>
    <w:rsid w:val="005A7DEC"/>
    <w:rsid w:val="005B092E"/>
    <w:rsid w:val="005B152C"/>
    <w:rsid w:val="005B1EE0"/>
    <w:rsid w:val="005B2A45"/>
    <w:rsid w:val="005B2B24"/>
    <w:rsid w:val="005B4425"/>
    <w:rsid w:val="005B4B94"/>
    <w:rsid w:val="005C0CBF"/>
    <w:rsid w:val="005C2BEF"/>
    <w:rsid w:val="005C3EE8"/>
    <w:rsid w:val="005C4027"/>
    <w:rsid w:val="005C6C45"/>
    <w:rsid w:val="005D0EC5"/>
    <w:rsid w:val="005D34F9"/>
    <w:rsid w:val="005D3F4E"/>
    <w:rsid w:val="005D4190"/>
    <w:rsid w:val="005D44BD"/>
    <w:rsid w:val="005D67A3"/>
    <w:rsid w:val="005E2988"/>
    <w:rsid w:val="005E3085"/>
    <w:rsid w:val="005E3786"/>
    <w:rsid w:val="005E50F4"/>
    <w:rsid w:val="005F0344"/>
    <w:rsid w:val="005F4552"/>
    <w:rsid w:val="005F51E1"/>
    <w:rsid w:val="00600DF8"/>
    <w:rsid w:val="00602ECF"/>
    <w:rsid w:val="006036F3"/>
    <w:rsid w:val="00611C80"/>
    <w:rsid w:val="00613200"/>
    <w:rsid w:val="00613E68"/>
    <w:rsid w:val="00620692"/>
    <w:rsid w:val="006242CA"/>
    <w:rsid w:val="00627507"/>
    <w:rsid w:val="006278F0"/>
    <w:rsid w:val="00630205"/>
    <w:rsid w:val="00633717"/>
    <w:rsid w:val="006344E1"/>
    <w:rsid w:val="00640982"/>
    <w:rsid w:val="006545C4"/>
    <w:rsid w:val="00655B9C"/>
    <w:rsid w:val="0065726E"/>
    <w:rsid w:val="00661971"/>
    <w:rsid w:val="00661CE8"/>
    <w:rsid w:val="00661E2F"/>
    <w:rsid w:val="006623D9"/>
    <w:rsid w:val="006628ED"/>
    <w:rsid w:val="0066550C"/>
    <w:rsid w:val="00667B26"/>
    <w:rsid w:val="006716F2"/>
    <w:rsid w:val="00672CEB"/>
    <w:rsid w:val="00672D19"/>
    <w:rsid w:val="00677A45"/>
    <w:rsid w:val="00682BF2"/>
    <w:rsid w:val="006836DD"/>
    <w:rsid w:val="006859CE"/>
    <w:rsid w:val="00687CC7"/>
    <w:rsid w:val="00691270"/>
    <w:rsid w:val="0069452C"/>
    <w:rsid w:val="00694BA8"/>
    <w:rsid w:val="006A00C5"/>
    <w:rsid w:val="006A037C"/>
    <w:rsid w:val="006A1885"/>
    <w:rsid w:val="006A36F4"/>
    <w:rsid w:val="006A406F"/>
    <w:rsid w:val="006A43ED"/>
    <w:rsid w:val="006A5D3A"/>
    <w:rsid w:val="006A7809"/>
    <w:rsid w:val="006C1BCB"/>
    <w:rsid w:val="006C23D4"/>
    <w:rsid w:val="006C60F8"/>
    <w:rsid w:val="006C7BB0"/>
    <w:rsid w:val="006D0505"/>
    <w:rsid w:val="006D185F"/>
    <w:rsid w:val="006D3237"/>
    <w:rsid w:val="006D39DB"/>
    <w:rsid w:val="006D5E41"/>
    <w:rsid w:val="006D641A"/>
    <w:rsid w:val="006E12D3"/>
    <w:rsid w:val="006E1AE8"/>
    <w:rsid w:val="006E2E37"/>
    <w:rsid w:val="006E3CF1"/>
    <w:rsid w:val="006E4C23"/>
    <w:rsid w:val="006E5C63"/>
    <w:rsid w:val="006E79B8"/>
    <w:rsid w:val="006E7E80"/>
    <w:rsid w:val="006F48CA"/>
    <w:rsid w:val="006F64DD"/>
    <w:rsid w:val="006F6A71"/>
    <w:rsid w:val="006F70A1"/>
    <w:rsid w:val="00702634"/>
    <w:rsid w:val="00705168"/>
    <w:rsid w:val="00705227"/>
    <w:rsid w:val="00711DBE"/>
    <w:rsid w:val="00715127"/>
    <w:rsid w:val="00715E8E"/>
    <w:rsid w:val="00723580"/>
    <w:rsid w:val="00723755"/>
    <w:rsid w:val="0073136C"/>
    <w:rsid w:val="00731F0F"/>
    <w:rsid w:val="00733250"/>
    <w:rsid w:val="00740E2B"/>
    <w:rsid w:val="00740F39"/>
    <w:rsid w:val="00741404"/>
    <w:rsid w:val="00742F08"/>
    <w:rsid w:val="0074387A"/>
    <w:rsid w:val="007449E5"/>
    <w:rsid w:val="007450C2"/>
    <w:rsid w:val="00747FF0"/>
    <w:rsid w:val="007513CF"/>
    <w:rsid w:val="00760F01"/>
    <w:rsid w:val="00764046"/>
    <w:rsid w:val="00764D4E"/>
    <w:rsid w:val="00765A1F"/>
    <w:rsid w:val="00767D5A"/>
    <w:rsid w:val="00775B6D"/>
    <w:rsid w:val="00775D49"/>
    <w:rsid w:val="00776D68"/>
    <w:rsid w:val="007773AB"/>
    <w:rsid w:val="007850EE"/>
    <w:rsid w:val="00785B95"/>
    <w:rsid w:val="00790E96"/>
    <w:rsid w:val="00793366"/>
    <w:rsid w:val="007949F3"/>
    <w:rsid w:val="00794A6E"/>
    <w:rsid w:val="0079519C"/>
    <w:rsid w:val="007952DA"/>
    <w:rsid w:val="00795D3C"/>
    <w:rsid w:val="007A0E55"/>
    <w:rsid w:val="007A716F"/>
    <w:rsid w:val="007B270A"/>
    <w:rsid w:val="007B4B56"/>
    <w:rsid w:val="007B5E69"/>
    <w:rsid w:val="007C0695"/>
    <w:rsid w:val="007C419A"/>
    <w:rsid w:val="007C4CC8"/>
    <w:rsid w:val="007C5426"/>
    <w:rsid w:val="007C5798"/>
    <w:rsid w:val="007D4832"/>
    <w:rsid w:val="007D5D8F"/>
    <w:rsid w:val="007E21B2"/>
    <w:rsid w:val="007E2A0F"/>
    <w:rsid w:val="007E2C4E"/>
    <w:rsid w:val="007E3ED4"/>
    <w:rsid w:val="007E6DE7"/>
    <w:rsid w:val="007E7C24"/>
    <w:rsid w:val="007F1905"/>
    <w:rsid w:val="007F196E"/>
    <w:rsid w:val="007F4A10"/>
    <w:rsid w:val="007F67F6"/>
    <w:rsid w:val="00801300"/>
    <w:rsid w:val="00802C64"/>
    <w:rsid w:val="0080300B"/>
    <w:rsid w:val="00805E52"/>
    <w:rsid w:val="008061D0"/>
    <w:rsid w:val="00810B38"/>
    <w:rsid w:val="008172DE"/>
    <w:rsid w:val="008204C7"/>
    <w:rsid w:val="008206DD"/>
    <w:rsid w:val="00820992"/>
    <w:rsid w:val="00823602"/>
    <w:rsid w:val="00824184"/>
    <w:rsid w:val="008255F5"/>
    <w:rsid w:val="0083014E"/>
    <w:rsid w:val="0083214A"/>
    <w:rsid w:val="00833402"/>
    <w:rsid w:val="00834220"/>
    <w:rsid w:val="0084351A"/>
    <w:rsid w:val="00845723"/>
    <w:rsid w:val="00851AA3"/>
    <w:rsid w:val="00851EF9"/>
    <w:rsid w:val="00854627"/>
    <w:rsid w:val="008552EB"/>
    <w:rsid w:val="008577FD"/>
    <w:rsid w:val="00860B03"/>
    <w:rsid w:val="0086154B"/>
    <w:rsid w:val="0086497A"/>
    <w:rsid w:val="00866E3F"/>
    <w:rsid w:val="008713A1"/>
    <w:rsid w:val="00872C82"/>
    <w:rsid w:val="008754AB"/>
    <w:rsid w:val="0088060C"/>
    <w:rsid w:val="00883C98"/>
    <w:rsid w:val="00885A07"/>
    <w:rsid w:val="00892D3A"/>
    <w:rsid w:val="00893576"/>
    <w:rsid w:val="00893E73"/>
    <w:rsid w:val="008A3F8E"/>
    <w:rsid w:val="008A5CDA"/>
    <w:rsid w:val="008B02DC"/>
    <w:rsid w:val="008B2DE4"/>
    <w:rsid w:val="008B3072"/>
    <w:rsid w:val="008B5143"/>
    <w:rsid w:val="008B57CE"/>
    <w:rsid w:val="008B6531"/>
    <w:rsid w:val="008B7DCF"/>
    <w:rsid w:val="008C25EA"/>
    <w:rsid w:val="008C26DE"/>
    <w:rsid w:val="008C2D69"/>
    <w:rsid w:val="008C4674"/>
    <w:rsid w:val="008C75F9"/>
    <w:rsid w:val="008D2225"/>
    <w:rsid w:val="008D4752"/>
    <w:rsid w:val="008D7119"/>
    <w:rsid w:val="008D7298"/>
    <w:rsid w:val="008E271C"/>
    <w:rsid w:val="008E299F"/>
    <w:rsid w:val="008E418E"/>
    <w:rsid w:val="008E4ABD"/>
    <w:rsid w:val="008E4F66"/>
    <w:rsid w:val="008E5BC6"/>
    <w:rsid w:val="008E6A25"/>
    <w:rsid w:val="008F5193"/>
    <w:rsid w:val="008F710A"/>
    <w:rsid w:val="009013A7"/>
    <w:rsid w:val="009017FB"/>
    <w:rsid w:val="009017FC"/>
    <w:rsid w:val="0090466A"/>
    <w:rsid w:val="0090506B"/>
    <w:rsid w:val="009050C9"/>
    <w:rsid w:val="009066FC"/>
    <w:rsid w:val="00911FE3"/>
    <w:rsid w:val="009140A3"/>
    <w:rsid w:val="009144A2"/>
    <w:rsid w:val="0091510C"/>
    <w:rsid w:val="009259AC"/>
    <w:rsid w:val="00926AD5"/>
    <w:rsid w:val="00926F38"/>
    <w:rsid w:val="00927C19"/>
    <w:rsid w:val="00934301"/>
    <w:rsid w:val="00936C2D"/>
    <w:rsid w:val="00936CD1"/>
    <w:rsid w:val="00941747"/>
    <w:rsid w:val="00941EFB"/>
    <w:rsid w:val="00945BF8"/>
    <w:rsid w:val="00947AFB"/>
    <w:rsid w:val="00951D7D"/>
    <w:rsid w:val="0095454A"/>
    <w:rsid w:val="00954C3D"/>
    <w:rsid w:val="00961024"/>
    <w:rsid w:val="009630C7"/>
    <w:rsid w:val="00967CD2"/>
    <w:rsid w:val="00972B55"/>
    <w:rsid w:val="009743B7"/>
    <w:rsid w:val="00981280"/>
    <w:rsid w:val="0098228B"/>
    <w:rsid w:val="009828DA"/>
    <w:rsid w:val="00985BAB"/>
    <w:rsid w:val="00994CDA"/>
    <w:rsid w:val="009B1B5F"/>
    <w:rsid w:val="009B6673"/>
    <w:rsid w:val="009C170B"/>
    <w:rsid w:val="009C17F2"/>
    <w:rsid w:val="009C191B"/>
    <w:rsid w:val="009C2BD6"/>
    <w:rsid w:val="009C4B1D"/>
    <w:rsid w:val="009C4B50"/>
    <w:rsid w:val="009D0080"/>
    <w:rsid w:val="009D0819"/>
    <w:rsid w:val="009D4242"/>
    <w:rsid w:val="009D75B8"/>
    <w:rsid w:val="009E0206"/>
    <w:rsid w:val="009E1F32"/>
    <w:rsid w:val="009E60AC"/>
    <w:rsid w:val="009E776C"/>
    <w:rsid w:val="009F56C5"/>
    <w:rsid w:val="009F73EE"/>
    <w:rsid w:val="00A00144"/>
    <w:rsid w:val="00A05D2C"/>
    <w:rsid w:val="00A0793D"/>
    <w:rsid w:val="00A10E2D"/>
    <w:rsid w:val="00A14196"/>
    <w:rsid w:val="00A1726E"/>
    <w:rsid w:val="00A204CF"/>
    <w:rsid w:val="00A22196"/>
    <w:rsid w:val="00A22909"/>
    <w:rsid w:val="00A23D49"/>
    <w:rsid w:val="00A27004"/>
    <w:rsid w:val="00A30C29"/>
    <w:rsid w:val="00A3186D"/>
    <w:rsid w:val="00A34DD6"/>
    <w:rsid w:val="00A35D36"/>
    <w:rsid w:val="00A36819"/>
    <w:rsid w:val="00A36989"/>
    <w:rsid w:val="00A413C9"/>
    <w:rsid w:val="00A43628"/>
    <w:rsid w:val="00A45645"/>
    <w:rsid w:val="00A51784"/>
    <w:rsid w:val="00A54192"/>
    <w:rsid w:val="00A6035E"/>
    <w:rsid w:val="00A6144C"/>
    <w:rsid w:val="00A66617"/>
    <w:rsid w:val="00A671F8"/>
    <w:rsid w:val="00A673A4"/>
    <w:rsid w:val="00A724AE"/>
    <w:rsid w:val="00A73329"/>
    <w:rsid w:val="00A82359"/>
    <w:rsid w:val="00A865D2"/>
    <w:rsid w:val="00A9179A"/>
    <w:rsid w:val="00A922E2"/>
    <w:rsid w:val="00A9393C"/>
    <w:rsid w:val="00A94C20"/>
    <w:rsid w:val="00AA227F"/>
    <w:rsid w:val="00AA3649"/>
    <w:rsid w:val="00AA3BC7"/>
    <w:rsid w:val="00AA709A"/>
    <w:rsid w:val="00AA754A"/>
    <w:rsid w:val="00AB099E"/>
    <w:rsid w:val="00AB1BDC"/>
    <w:rsid w:val="00AB234C"/>
    <w:rsid w:val="00AB2681"/>
    <w:rsid w:val="00AB4328"/>
    <w:rsid w:val="00AB49C7"/>
    <w:rsid w:val="00AB4B15"/>
    <w:rsid w:val="00AD1049"/>
    <w:rsid w:val="00AD412E"/>
    <w:rsid w:val="00AD735C"/>
    <w:rsid w:val="00AE0A2E"/>
    <w:rsid w:val="00AE354C"/>
    <w:rsid w:val="00AE3657"/>
    <w:rsid w:val="00AF3052"/>
    <w:rsid w:val="00AF4B07"/>
    <w:rsid w:val="00AF6186"/>
    <w:rsid w:val="00AF7A3A"/>
    <w:rsid w:val="00B032A5"/>
    <w:rsid w:val="00B04E1A"/>
    <w:rsid w:val="00B05C66"/>
    <w:rsid w:val="00B160DB"/>
    <w:rsid w:val="00B1693F"/>
    <w:rsid w:val="00B20836"/>
    <w:rsid w:val="00B21839"/>
    <w:rsid w:val="00B235BB"/>
    <w:rsid w:val="00B25941"/>
    <w:rsid w:val="00B27A44"/>
    <w:rsid w:val="00B308B3"/>
    <w:rsid w:val="00B30BBF"/>
    <w:rsid w:val="00B33C03"/>
    <w:rsid w:val="00B44E56"/>
    <w:rsid w:val="00B46543"/>
    <w:rsid w:val="00B47D33"/>
    <w:rsid w:val="00B52BE0"/>
    <w:rsid w:val="00B54133"/>
    <w:rsid w:val="00B5509D"/>
    <w:rsid w:val="00B567F6"/>
    <w:rsid w:val="00B56EF9"/>
    <w:rsid w:val="00B60BEA"/>
    <w:rsid w:val="00B63F79"/>
    <w:rsid w:val="00B662C3"/>
    <w:rsid w:val="00B6641C"/>
    <w:rsid w:val="00B668C8"/>
    <w:rsid w:val="00B66E6C"/>
    <w:rsid w:val="00B701ED"/>
    <w:rsid w:val="00B7634C"/>
    <w:rsid w:val="00B8086C"/>
    <w:rsid w:val="00B861B4"/>
    <w:rsid w:val="00B86DFE"/>
    <w:rsid w:val="00B86E2A"/>
    <w:rsid w:val="00B87705"/>
    <w:rsid w:val="00B90990"/>
    <w:rsid w:val="00B922FF"/>
    <w:rsid w:val="00B9281E"/>
    <w:rsid w:val="00B93925"/>
    <w:rsid w:val="00B95187"/>
    <w:rsid w:val="00B9776F"/>
    <w:rsid w:val="00BA117C"/>
    <w:rsid w:val="00BA2D55"/>
    <w:rsid w:val="00BA43DC"/>
    <w:rsid w:val="00BA71B1"/>
    <w:rsid w:val="00BB0637"/>
    <w:rsid w:val="00BB1CF5"/>
    <w:rsid w:val="00BB345F"/>
    <w:rsid w:val="00BB68EA"/>
    <w:rsid w:val="00BB7920"/>
    <w:rsid w:val="00BC1C27"/>
    <w:rsid w:val="00BC4A8F"/>
    <w:rsid w:val="00BC4E8F"/>
    <w:rsid w:val="00BC5568"/>
    <w:rsid w:val="00BC6BBF"/>
    <w:rsid w:val="00BD1572"/>
    <w:rsid w:val="00BD7028"/>
    <w:rsid w:val="00BD7C6B"/>
    <w:rsid w:val="00BE14E3"/>
    <w:rsid w:val="00BE3774"/>
    <w:rsid w:val="00BE41E5"/>
    <w:rsid w:val="00BF1DC7"/>
    <w:rsid w:val="00BF4109"/>
    <w:rsid w:val="00BF4CC3"/>
    <w:rsid w:val="00C008B2"/>
    <w:rsid w:val="00C054C7"/>
    <w:rsid w:val="00C057B5"/>
    <w:rsid w:val="00C06E15"/>
    <w:rsid w:val="00C1165A"/>
    <w:rsid w:val="00C1262B"/>
    <w:rsid w:val="00C22687"/>
    <w:rsid w:val="00C22B73"/>
    <w:rsid w:val="00C27774"/>
    <w:rsid w:val="00C27A1F"/>
    <w:rsid w:val="00C32E4D"/>
    <w:rsid w:val="00C333A0"/>
    <w:rsid w:val="00C342A8"/>
    <w:rsid w:val="00C363E1"/>
    <w:rsid w:val="00C36408"/>
    <w:rsid w:val="00C36A81"/>
    <w:rsid w:val="00C41974"/>
    <w:rsid w:val="00C427E6"/>
    <w:rsid w:val="00C46A48"/>
    <w:rsid w:val="00C46F0E"/>
    <w:rsid w:val="00C47EAB"/>
    <w:rsid w:val="00C53F4A"/>
    <w:rsid w:val="00C54125"/>
    <w:rsid w:val="00C55B54"/>
    <w:rsid w:val="00C6098E"/>
    <w:rsid w:val="00C60E2C"/>
    <w:rsid w:val="00C60EFE"/>
    <w:rsid w:val="00C611D8"/>
    <w:rsid w:val="00C6152C"/>
    <w:rsid w:val="00C619F0"/>
    <w:rsid w:val="00C6353D"/>
    <w:rsid w:val="00C63990"/>
    <w:rsid w:val="00C64EF6"/>
    <w:rsid w:val="00C65758"/>
    <w:rsid w:val="00C704DE"/>
    <w:rsid w:val="00C70F31"/>
    <w:rsid w:val="00C74810"/>
    <w:rsid w:val="00C75684"/>
    <w:rsid w:val="00C842DF"/>
    <w:rsid w:val="00C90D68"/>
    <w:rsid w:val="00C91336"/>
    <w:rsid w:val="00C91BF0"/>
    <w:rsid w:val="00C939FE"/>
    <w:rsid w:val="00CA4BDA"/>
    <w:rsid w:val="00CB1F66"/>
    <w:rsid w:val="00CB2951"/>
    <w:rsid w:val="00CB2F62"/>
    <w:rsid w:val="00CB41DD"/>
    <w:rsid w:val="00CC3D04"/>
    <w:rsid w:val="00CC71E6"/>
    <w:rsid w:val="00CC7A44"/>
    <w:rsid w:val="00CD282B"/>
    <w:rsid w:val="00CD4C35"/>
    <w:rsid w:val="00CD7369"/>
    <w:rsid w:val="00CE0B0E"/>
    <w:rsid w:val="00CE1570"/>
    <w:rsid w:val="00CE3831"/>
    <w:rsid w:val="00CF2569"/>
    <w:rsid w:val="00CF50D9"/>
    <w:rsid w:val="00D00ABB"/>
    <w:rsid w:val="00D02EEC"/>
    <w:rsid w:val="00D03551"/>
    <w:rsid w:val="00D04FE5"/>
    <w:rsid w:val="00D06A63"/>
    <w:rsid w:val="00D06BF3"/>
    <w:rsid w:val="00D07E0E"/>
    <w:rsid w:val="00D11478"/>
    <w:rsid w:val="00D153D7"/>
    <w:rsid w:val="00D15ED0"/>
    <w:rsid w:val="00D20FF5"/>
    <w:rsid w:val="00D21B3E"/>
    <w:rsid w:val="00D21FED"/>
    <w:rsid w:val="00D24251"/>
    <w:rsid w:val="00D3146E"/>
    <w:rsid w:val="00D343E2"/>
    <w:rsid w:val="00D34B81"/>
    <w:rsid w:val="00D361A2"/>
    <w:rsid w:val="00D37C1F"/>
    <w:rsid w:val="00D42AFF"/>
    <w:rsid w:val="00D44C2E"/>
    <w:rsid w:val="00D45414"/>
    <w:rsid w:val="00D509D0"/>
    <w:rsid w:val="00D566BD"/>
    <w:rsid w:val="00D568F5"/>
    <w:rsid w:val="00D57A4D"/>
    <w:rsid w:val="00D60AA7"/>
    <w:rsid w:val="00D6435F"/>
    <w:rsid w:val="00D75E28"/>
    <w:rsid w:val="00D76D17"/>
    <w:rsid w:val="00D772C2"/>
    <w:rsid w:val="00D8008E"/>
    <w:rsid w:val="00D82C45"/>
    <w:rsid w:val="00D903FB"/>
    <w:rsid w:val="00D908A8"/>
    <w:rsid w:val="00D91A31"/>
    <w:rsid w:val="00D9421C"/>
    <w:rsid w:val="00D96253"/>
    <w:rsid w:val="00D977B6"/>
    <w:rsid w:val="00DA4A31"/>
    <w:rsid w:val="00DA765D"/>
    <w:rsid w:val="00DA7B04"/>
    <w:rsid w:val="00DB36C2"/>
    <w:rsid w:val="00DB6196"/>
    <w:rsid w:val="00DB6618"/>
    <w:rsid w:val="00DC169B"/>
    <w:rsid w:val="00DC2AB9"/>
    <w:rsid w:val="00DC4B89"/>
    <w:rsid w:val="00DC5F65"/>
    <w:rsid w:val="00DC63F0"/>
    <w:rsid w:val="00DD4AAB"/>
    <w:rsid w:val="00DD4CF1"/>
    <w:rsid w:val="00DD5146"/>
    <w:rsid w:val="00DD6D2E"/>
    <w:rsid w:val="00DD6EE5"/>
    <w:rsid w:val="00DE1B49"/>
    <w:rsid w:val="00DE386C"/>
    <w:rsid w:val="00DE4D35"/>
    <w:rsid w:val="00DE73E2"/>
    <w:rsid w:val="00DF098B"/>
    <w:rsid w:val="00DF11C4"/>
    <w:rsid w:val="00DF210C"/>
    <w:rsid w:val="00DF4327"/>
    <w:rsid w:val="00DF4B6A"/>
    <w:rsid w:val="00E01E65"/>
    <w:rsid w:val="00E02C09"/>
    <w:rsid w:val="00E04D59"/>
    <w:rsid w:val="00E0638E"/>
    <w:rsid w:val="00E07DA1"/>
    <w:rsid w:val="00E123CB"/>
    <w:rsid w:val="00E20E13"/>
    <w:rsid w:val="00E21DBC"/>
    <w:rsid w:val="00E23460"/>
    <w:rsid w:val="00E25835"/>
    <w:rsid w:val="00E25E42"/>
    <w:rsid w:val="00E270A4"/>
    <w:rsid w:val="00E275D7"/>
    <w:rsid w:val="00E27DBE"/>
    <w:rsid w:val="00E32AB1"/>
    <w:rsid w:val="00E35267"/>
    <w:rsid w:val="00E36C71"/>
    <w:rsid w:val="00E40263"/>
    <w:rsid w:val="00E40404"/>
    <w:rsid w:val="00E40595"/>
    <w:rsid w:val="00E40987"/>
    <w:rsid w:val="00E4529A"/>
    <w:rsid w:val="00E459C6"/>
    <w:rsid w:val="00E47589"/>
    <w:rsid w:val="00E64915"/>
    <w:rsid w:val="00E661D4"/>
    <w:rsid w:val="00E664EF"/>
    <w:rsid w:val="00E70091"/>
    <w:rsid w:val="00E71C01"/>
    <w:rsid w:val="00E720F5"/>
    <w:rsid w:val="00E73A0C"/>
    <w:rsid w:val="00E76D47"/>
    <w:rsid w:val="00E77CB3"/>
    <w:rsid w:val="00E8216B"/>
    <w:rsid w:val="00E849F7"/>
    <w:rsid w:val="00E90302"/>
    <w:rsid w:val="00E97396"/>
    <w:rsid w:val="00EA163D"/>
    <w:rsid w:val="00EA185E"/>
    <w:rsid w:val="00EA592A"/>
    <w:rsid w:val="00EA760F"/>
    <w:rsid w:val="00EB14E4"/>
    <w:rsid w:val="00EB15E1"/>
    <w:rsid w:val="00EB2561"/>
    <w:rsid w:val="00EB32A5"/>
    <w:rsid w:val="00EB34ED"/>
    <w:rsid w:val="00EB7BE0"/>
    <w:rsid w:val="00EB7E63"/>
    <w:rsid w:val="00EC315E"/>
    <w:rsid w:val="00ED077C"/>
    <w:rsid w:val="00ED1190"/>
    <w:rsid w:val="00ED6544"/>
    <w:rsid w:val="00EE0277"/>
    <w:rsid w:val="00EE3E00"/>
    <w:rsid w:val="00EE5148"/>
    <w:rsid w:val="00EE5DD2"/>
    <w:rsid w:val="00EF52AB"/>
    <w:rsid w:val="00EF633A"/>
    <w:rsid w:val="00EF63C2"/>
    <w:rsid w:val="00F00A79"/>
    <w:rsid w:val="00F00E86"/>
    <w:rsid w:val="00F06C8C"/>
    <w:rsid w:val="00F07C1E"/>
    <w:rsid w:val="00F105DB"/>
    <w:rsid w:val="00F132BC"/>
    <w:rsid w:val="00F13D80"/>
    <w:rsid w:val="00F14B2A"/>
    <w:rsid w:val="00F16AAA"/>
    <w:rsid w:val="00F21161"/>
    <w:rsid w:val="00F218EF"/>
    <w:rsid w:val="00F21BC7"/>
    <w:rsid w:val="00F266A2"/>
    <w:rsid w:val="00F277E1"/>
    <w:rsid w:val="00F32269"/>
    <w:rsid w:val="00F41AF2"/>
    <w:rsid w:val="00F460BF"/>
    <w:rsid w:val="00F46DB2"/>
    <w:rsid w:val="00F50101"/>
    <w:rsid w:val="00F52EB4"/>
    <w:rsid w:val="00F56A6F"/>
    <w:rsid w:val="00F5709C"/>
    <w:rsid w:val="00F64EF1"/>
    <w:rsid w:val="00F66B50"/>
    <w:rsid w:val="00F70F52"/>
    <w:rsid w:val="00F8765F"/>
    <w:rsid w:val="00F87BD3"/>
    <w:rsid w:val="00F90767"/>
    <w:rsid w:val="00FA14EB"/>
    <w:rsid w:val="00FA685B"/>
    <w:rsid w:val="00FB0C01"/>
    <w:rsid w:val="00FC18F2"/>
    <w:rsid w:val="00FC39E5"/>
    <w:rsid w:val="00FC3A78"/>
    <w:rsid w:val="00FC5E95"/>
    <w:rsid w:val="00FD1005"/>
    <w:rsid w:val="00FD6C75"/>
    <w:rsid w:val="00FE43D9"/>
    <w:rsid w:val="00FE71B3"/>
    <w:rsid w:val="00FF27BD"/>
    <w:rsid w:val="00FF42C5"/>
    <w:rsid w:val="00FF60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C63990"/>
    <w:pPr>
      <w:jc w:val="both"/>
    </w:pPr>
    <w:rPr>
      <w:rFonts w:eastAsiaTheme="minorEastAsia"/>
      <w:sz w:val="24"/>
    </w:rPr>
  </w:style>
  <w:style w:type="paragraph" w:styleId="Titolo1">
    <w:name w:val="heading 1"/>
    <w:basedOn w:val="Normale"/>
    <w:next w:val="Normale"/>
    <w:link w:val="Titolo1Carattere"/>
    <w:uiPriority w:val="99"/>
    <w:semiHidden/>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77CB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77CB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77CB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77CB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E77CB3"/>
    <w:rPr>
      <w:i/>
      <w:iCs/>
      <w:smallCaps/>
      <w:spacing w:val="5"/>
    </w:rPr>
  </w:style>
  <w:style w:type="paragraph" w:customStyle="1" w:styleId="ECHRHeader">
    <w:name w:val="ECHR_Header"/>
    <w:aliases w:val="Ju_Header"/>
    <w:basedOn w:val="Intestazione"/>
    <w:uiPriority w:val="4"/>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uiPriority w:val="46"/>
    <w:qFormat/>
    <w:rsid w:val="00C63990"/>
    <w:pPr>
      <w:ind w:firstLine="284"/>
    </w:pPr>
  </w:style>
  <w:style w:type="character" w:styleId="Enfasigrassetto">
    <w:name w:val="Strong"/>
    <w:uiPriority w:val="99"/>
    <w:semiHidden/>
    <w:qFormat/>
    <w:rsid w:val="00E77CB3"/>
    <w:rPr>
      <w:b/>
      <w:bCs/>
    </w:rPr>
  </w:style>
  <w:style w:type="paragraph" w:styleId="Nessunaspaziatura">
    <w:name w:val="No Spacing"/>
    <w:basedOn w:val="Normale"/>
    <w:link w:val="NessunaspaziaturaCarattere"/>
    <w:semiHidden/>
    <w:qFormat/>
    <w:rsid w:val="00E77CB3"/>
    <w:rPr>
      <w:sz w:val="22"/>
    </w:rPr>
  </w:style>
  <w:style w:type="character" w:customStyle="1" w:styleId="NessunaspaziaturaCarattere">
    <w:name w:val="Nessuna spaziatura Carattere"/>
    <w:basedOn w:val="Carpredefinitoparagrafo"/>
    <w:link w:val="Nessunaspaziatura"/>
    <w:semiHidden/>
    <w:rsid w:val="00E77CB3"/>
    <w:rPr>
      <w:rFonts w:eastAsiaTheme="minorEastAsia"/>
    </w:rPr>
  </w:style>
  <w:style w:type="paragraph" w:customStyle="1" w:styleId="JuParaSub">
    <w:name w:val="Ju_Para_Sub"/>
    <w:basedOn w:val="Normale"/>
    <w:uiPriority w:val="13"/>
    <w:qFormat/>
    <w:rsid w:val="00C63990"/>
    <w:pPr>
      <w:ind w:left="284" w:firstLine="284"/>
    </w:pPr>
  </w:style>
  <w:style w:type="paragraph" w:customStyle="1" w:styleId="OpiParaSub">
    <w:name w:val="Opi_Para_Sub"/>
    <w:basedOn w:val="JuParaSub"/>
    <w:uiPriority w:val="47"/>
    <w:qFormat/>
    <w:rsid w:val="00E77CB3"/>
  </w:style>
  <w:style w:type="paragraph" w:customStyle="1" w:styleId="OpiQuot">
    <w:name w:val="Opi_Quot"/>
    <w:basedOn w:val="ECHRParaQuote"/>
    <w:uiPriority w:val="48"/>
    <w:qFormat/>
    <w:rsid w:val="00E77CB3"/>
  </w:style>
  <w:style w:type="paragraph" w:customStyle="1" w:styleId="OpiQuotSub">
    <w:name w:val="Opi_Quot_Sub"/>
    <w:basedOn w:val="JuQuotSub"/>
    <w:uiPriority w:val="49"/>
    <w:qFormat/>
    <w:rsid w:val="00E77CB3"/>
  </w:style>
  <w:style w:type="paragraph" w:customStyle="1" w:styleId="ECHRTitleCentre3">
    <w:name w:val="ECHR_Title_Centre_3"/>
    <w:aliases w:val="Ju_H_Article"/>
    <w:basedOn w:val="Normale"/>
    <w:next w:val="ECHRParaQuote"/>
    <w:uiPriority w:val="27"/>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77CB3"/>
    <w:pPr>
      <w:ind w:left="567"/>
    </w:pPr>
  </w:style>
  <w:style w:type="paragraph" w:customStyle="1" w:styleId="JuInitialled">
    <w:name w:val="Ju_Initialled"/>
    <w:basedOn w:val="Normale"/>
    <w:uiPriority w:val="31"/>
    <w:qFormat/>
    <w:rsid w:val="00E77CB3"/>
    <w:pPr>
      <w:tabs>
        <w:tab w:val="center" w:pos="6407"/>
      </w:tabs>
      <w:spacing w:before="720"/>
      <w:jc w:val="right"/>
    </w:pPr>
  </w:style>
  <w:style w:type="paragraph" w:customStyle="1" w:styleId="OpiHA">
    <w:name w:val="Opi_H_A"/>
    <w:basedOn w:val="Normale"/>
    <w:next w:val="OpiPara"/>
    <w:uiPriority w:val="41"/>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e"/>
    <w:next w:val="OpiPara"/>
    <w:uiPriority w:val="40"/>
    <w:qFormat/>
    <w:rsid w:val="00E77CB3"/>
    <w:pPr>
      <w:jc w:val="center"/>
      <w:outlineLvl w:val="0"/>
    </w:pPr>
    <w:rPr>
      <w:i/>
    </w:rPr>
  </w:style>
  <w:style w:type="paragraph" w:styleId="Titolo">
    <w:name w:val="Title"/>
    <w:basedOn w:val="Normale"/>
    <w:next w:val="Normale"/>
    <w:link w:val="TitoloCarattere"/>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uiPriority w:val="22"/>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uiPriority w:val="23"/>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uiPriority w:val="24"/>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uiPriority w:val="25"/>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uiPriority w:val="43"/>
    <w:qFormat/>
    <w:rsid w:val="00E77CB3"/>
    <w:pPr>
      <w:ind w:left="833" w:hanging="357"/>
      <w:outlineLvl w:val="3"/>
    </w:pPr>
    <w:rPr>
      <w:b/>
      <w:i w:val="0"/>
      <w:sz w:val="20"/>
    </w:rPr>
  </w:style>
  <w:style w:type="paragraph" w:customStyle="1" w:styleId="OpiHi">
    <w:name w:val="Opi_H_i"/>
    <w:basedOn w:val="ECHRHeading4"/>
    <w:uiPriority w:val="44"/>
    <w:qFormat/>
    <w:rsid w:val="00E77CB3"/>
    <w:pPr>
      <w:ind w:left="1037" w:hanging="357"/>
      <w:outlineLvl w:val="4"/>
    </w:pPr>
    <w:rPr>
      <w:b w:val="0"/>
      <w:i/>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Titolo2"/>
    <w:next w:val="Normale"/>
    <w:uiPriority w:val="20"/>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E77CB3"/>
    <w:rPr>
      <w:color w:val="00B050"/>
    </w:rPr>
  </w:style>
  <w:style w:type="paragraph" w:customStyle="1" w:styleId="ECHRDecisionBody">
    <w:name w:val="ECHR_Decision_Body"/>
    <w:aliases w:val="Ju_Judges"/>
    <w:basedOn w:val="Normale"/>
    <w:uiPriority w:val="11"/>
    <w:qFormat/>
    <w:rsid w:val="00C63990"/>
    <w:pPr>
      <w:tabs>
        <w:tab w:val="left" w:pos="567"/>
        <w:tab w:val="left" w:pos="1134"/>
      </w:tabs>
      <w:jc w:val="left"/>
    </w:p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Para,Left,First line:  0 cm,First line:  0 cm + Première ligne : 0,66 cm,Interligne : Double"/>
    <w:basedOn w:val="Normale"/>
    <w:link w:val="ECHRParaChar"/>
    <w:uiPriority w:val="12"/>
    <w:qFormat/>
    <w:rsid w:val="00C63990"/>
    <w:pPr>
      <w:ind w:firstLine="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E77CB3"/>
    <w:rPr>
      <w:rFonts w:asciiTheme="majorHAnsi" w:eastAsiaTheme="majorEastAsia" w:hAnsiTheme="majorHAnsi" w:cstheme="majorBidi"/>
      <w:b/>
      <w:bCs/>
      <w:color w:val="808080"/>
    </w:rPr>
  </w:style>
  <w:style w:type="character" w:styleId="Enfasidelicata">
    <w:name w:val="Subtle Emphasis"/>
    <w:uiPriority w:val="99"/>
    <w:semiHidden/>
    <w:qFormat/>
    <w:rsid w:val="00E77CB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Normale"/>
    <w:uiPriority w:val="18"/>
    <w:qFormat/>
    <w:rsid w:val="00E77CB3"/>
    <w:pPr>
      <w:keepNext/>
      <w:keepLines/>
      <w:spacing w:before="720" w:after="240"/>
      <w:outlineLvl w:val="0"/>
    </w:pPr>
    <w:rPr>
      <w:rFonts w:asciiTheme="majorHAnsi" w:hAnsiTheme="majorHAnsi"/>
      <w:sz w:val="28"/>
    </w:rPr>
  </w:style>
  <w:style w:type="character" w:styleId="Enfasicorsivo">
    <w:name w:val="Emphasis"/>
    <w:uiPriority w:val="99"/>
    <w:semiHidden/>
    <w:qFormat/>
    <w:rsid w:val="00E77CB3"/>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77CB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7CB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7CB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E77CB3"/>
    <w:rPr>
      <w:b/>
      <w:bCs/>
    </w:rPr>
  </w:style>
  <w:style w:type="paragraph" w:styleId="Citazioneintensa">
    <w:name w:val="Intense Quote"/>
    <w:basedOn w:val="Normale"/>
    <w:next w:val="Normale"/>
    <w:link w:val="CitazioneintensaCarattere"/>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77CB3"/>
    <w:rPr>
      <w:rFonts w:eastAsiaTheme="minorEastAsia"/>
      <w:b/>
      <w:bCs/>
      <w:i/>
      <w:iCs/>
      <w:lang w:bidi="en-US"/>
    </w:rPr>
  </w:style>
  <w:style w:type="character" w:styleId="Riferimentointenso">
    <w:name w:val="Intense Reference"/>
    <w:uiPriority w:val="99"/>
    <w:semiHidden/>
    <w:qFormat/>
    <w:rsid w:val="00E77CB3"/>
    <w:rPr>
      <w:smallCaps/>
      <w:spacing w:val="5"/>
      <w:u w:val="single"/>
    </w:rPr>
  </w:style>
  <w:style w:type="paragraph" w:styleId="Paragrafoelenco">
    <w:name w:val="List Paragraph"/>
    <w:basedOn w:val="Normale"/>
    <w:uiPriority w:val="99"/>
    <w:semiHidden/>
    <w:qFormat/>
    <w:rsid w:val="00E77CB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7CB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77CB3"/>
    <w:rPr>
      <w:rFonts w:eastAsiaTheme="minorEastAsia"/>
      <w:i/>
      <w:iCs/>
      <w:lang w:bidi="en-US"/>
    </w:rPr>
  </w:style>
  <w:style w:type="character" w:styleId="Riferimentodelicato">
    <w:name w:val="Subtle Reference"/>
    <w:uiPriority w:val="99"/>
    <w:semiHidden/>
    <w:qFormat/>
    <w:rsid w:val="00E77CB3"/>
    <w:rPr>
      <w:smallCaps/>
    </w:rPr>
  </w:style>
  <w:style w:type="table" w:styleId="Grigliatabella">
    <w:name w:val="Table Grid"/>
    <w:basedOn w:val="Tabellanormale"/>
    <w:uiPriority w:val="9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E77CB3"/>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qFormat/>
    <w:rsid w:val="00E77CB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77CB3"/>
    <w:pPr>
      <w:tabs>
        <w:tab w:val="center" w:pos="851"/>
        <w:tab w:val="center" w:pos="6407"/>
      </w:tabs>
      <w:spacing w:before="720"/>
      <w:jc w:val="left"/>
    </w:pPr>
  </w:style>
  <w:style w:type="paragraph" w:customStyle="1" w:styleId="JuParaLast">
    <w:name w:val="Ju_Para_Last"/>
    <w:basedOn w:val="Normale"/>
    <w:next w:val="Normale"/>
    <w:uiPriority w:val="30"/>
    <w:qFormat/>
    <w:rsid w:val="00E77CB3"/>
    <w:pPr>
      <w:keepNext/>
      <w:keepLines/>
      <w:spacing w:before="240"/>
      <w:ind w:firstLine="284"/>
    </w:pPr>
  </w:style>
  <w:style w:type="paragraph" w:customStyle="1" w:styleId="JuCase">
    <w:name w:val="Ju_Case"/>
    <w:basedOn w:val="Normale"/>
    <w:next w:val="Normale"/>
    <w:uiPriority w:val="10"/>
    <w:rsid w:val="00E77CB3"/>
    <w:pPr>
      <w:ind w:firstLine="284"/>
    </w:pPr>
    <w:rPr>
      <w:b/>
    </w:rPr>
  </w:style>
  <w:style w:type="paragraph" w:customStyle="1" w:styleId="JuList">
    <w:name w:val="Ju_List"/>
    <w:basedOn w:val="Normale"/>
    <w:uiPriority w:val="28"/>
    <w:qFormat/>
    <w:rsid w:val="00E77CB3"/>
    <w:pPr>
      <w:ind w:left="340" w:hanging="340"/>
    </w:pPr>
  </w:style>
  <w:style w:type="paragraph" w:customStyle="1" w:styleId="JuCourt">
    <w:name w:val="Ju_Court"/>
    <w:basedOn w:val="Normale"/>
    <w:next w:val="Normale"/>
    <w:uiPriority w:val="16"/>
    <w:qFormat/>
    <w:rsid w:val="00E77CB3"/>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77CB3"/>
    <w:pPr>
      <w:ind w:left="346" w:firstLine="0"/>
    </w:pPr>
  </w:style>
  <w:style w:type="paragraph" w:customStyle="1" w:styleId="JuListi">
    <w:name w:val="Ju_List_i"/>
    <w:basedOn w:val="Normale"/>
    <w:next w:val="JuLista"/>
    <w:uiPriority w:val="28"/>
    <w:qFormat/>
    <w:rsid w:val="00E77CB3"/>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E77CB3"/>
    <w:rPr>
      <w:vanish/>
      <w:color w:val="339966"/>
      <w:sz w:val="14"/>
    </w:rPr>
  </w:style>
  <w:style w:type="paragraph" w:styleId="Sottotitolo">
    <w:name w:val="Subtitle"/>
    <w:basedOn w:val="Normale"/>
    <w:next w:val="Normale"/>
    <w:link w:val="SottotitoloCarattere"/>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ECHRParaChar">
    <w:name w:val="ECHR_Para Char"/>
    <w:aliases w:val="Para Char"/>
    <w:basedOn w:val="NessunaspaziaturaCarattere"/>
    <w:link w:val="ECHRPara"/>
    <w:uiPriority w:val="12"/>
    <w:rsid w:val="001E453B"/>
    <w:rPr>
      <w:rFonts w:eastAsiaTheme="minorEastAsia"/>
      <w:sz w:val="24"/>
    </w:rPr>
  </w:style>
  <w:style w:type="character" w:customStyle="1" w:styleId="ju-005fpara--char">
    <w:name w:val="ju-005fpara--char"/>
    <w:basedOn w:val="Carpredefinitoparagrafo"/>
    <w:rsid w:val="001E453B"/>
  </w:style>
  <w:style w:type="character" w:customStyle="1" w:styleId="sb8d990e2">
    <w:name w:val="sb8d990e2"/>
    <w:basedOn w:val="Carpredefinitoparagrafo"/>
    <w:rsid w:val="00630205"/>
  </w:style>
  <w:style w:type="character" w:customStyle="1" w:styleId="sea881cdf">
    <w:name w:val="sea881cdf"/>
    <w:basedOn w:val="Carpredefinitoparagrafo"/>
    <w:rsid w:val="00630205"/>
  </w:style>
  <w:style w:type="character" w:customStyle="1" w:styleId="JuParaChar">
    <w:name w:val="Ju_Para Char"/>
    <w:basedOn w:val="Carpredefinitoparagrafo"/>
    <w:rsid w:val="00F66B50"/>
    <w:rPr>
      <w:rFonts w:eastAsiaTheme="minorEastAsia"/>
      <w:sz w:val="24"/>
    </w:rPr>
  </w:style>
  <w:style w:type="character" w:customStyle="1" w:styleId="s6b621b36">
    <w:name w:val="s6b621b36"/>
    <w:basedOn w:val="Carpredefinitoparagrafo"/>
    <w:rsid w:val="00F66B50"/>
  </w:style>
  <w:style w:type="character" w:customStyle="1" w:styleId="s7d2086b4">
    <w:name w:val="s7d2086b4"/>
    <w:basedOn w:val="Carpredefinitoparagrafo"/>
    <w:rsid w:val="00F66B50"/>
  </w:style>
  <w:style w:type="character" w:customStyle="1" w:styleId="JuParaCar">
    <w:name w:val="Ju_Para Car"/>
    <w:uiPriority w:val="12"/>
    <w:rsid w:val="00F66B50"/>
    <w:rPr>
      <w:rFonts w:eastAsiaTheme="minorEastAsia"/>
      <w:sz w:val="24"/>
    </w:rPr>
  </w:style>
  <w:style w:type="paragraph" w:customStyle="1" w:styleId="s70227c73">
    <w:name w:val="s70227c73"/>
    <w:basedOn w:val="Normale"/>
    <w:rsid w:val="00F66B50"/>
    <w:pPr>
      <w:spacing w:before="100" w:beforeAutospacing="1" w:after="100" w:afterAutospacing="1"/>
      <w:jc w:val="left"/>
    </w:pPr>
    <w:rPr>
      <w:rFonts w:ascii="Times New Roman" w:eastAsia="Times New Roman" w:hAnsi="Times New Roman" w:cs="Times New Roman"/>
      <w:szCs w:val="24"/>
    </w:rPr>
  </w:style>
  <w:style w:type="paragraph" w:customStyle="1" w:styleId="se5d6d4c3">
    <w:name w:val="se5d6d4c3"/>
    <w:basedOn w:val="Normale"/>
    <w:rsid w:val="00F66B50"/>
    <w:pPr>
      <w:spacing w:before="100" w:beforeAutospacing="1" w:after="100" w:afterAutospacing="1"/>
      <w:jc w:val="left"/>
    </w:pPr>
    <w:rPr>
      <w:rFonts w:ascii="Times New Roman" w:eastAsia="Times New Roman" w:hAnsi="Times New Roman" w:cs="Times New Roman"/>
      <w:szCs w:val="24"/>
    </w:rPr>
  </w:style>
  <w:style w:type="character" w:customStyle="1" w:styleId="sdfc50a6a">
    <w:name w:val="sdfc50a6a"/>
    <w:basedOn w:val="Carpredefinitoparagrafo"/>
    <w:rsid w:val="00F66B50"/>
  </w:style>
  <w:style w:type="character" w:customStyle="1" w:styleId="s50cfe236">
    <w:name w:val="s50cfe236"/>
    <w:basedOn w:val="Carpredefinitoparagrafo"/>
    <w:rsid w:val="00F66B50"/>
  </w:style>
  <w:style w:type="paragraph" w:customStyle="1" w:styleId="s30eec3f8">
    <w:name w:val="s30eec3f8"/>
    <w:basedOn w:val="Normale"/>
    <w:rsid w:val="00F66B50"/>
    <w:pPr>
      <w:spacing w:before="100" w:beforeAutospacing="1" w:after="100" w:afterAutospacing="1"/>
      <w:jc w:val="left"/>
    </w:pPr>
    <w:rPr>
      <w:rFonts w:ascii="Times New Roman" w:eastAsia="Times New Roman" w:hAnsi="Times New Roman" w:cs="Times New Roman"/>
      <w:szCs w:val="24"/>
    </w:rPr>
  </w:style>
  <w:style w:type="character" w:customStyle="1" w:styleId="wordhighlighted">
    <w:name w:val="wordhighlighted"/>
    <w:basedOn w:val="Carpredefinitoparagrafo"/>
    <w:rsid w:val="00F66B50"/>
  </w:style>
  <w:style w:type="paragraph" w:customStyle="1" w:styleId="sc5b19718">
    <w:name w:val="sc5b19718"/>
    <w:basedOn w:val="Normale"/>
    <w:rsid w:val="00F66B50"/>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Carpredefinitoparagrafo"/>
    <w:rsid w:val="00F66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C63990"/>
    <w:pPr>
      <w:jc w:val="both"/>
    </w:pPr>
    <w:rPr>
      <w:rFonts w:eastAsiaTheme="minorEastAsia"/>
      <w:sz w:val="24"/>
    </w:rPr>
  </w:style>
  <w:style w:type="paragraph" w:styleId="Titolo1">
    <w:name w:val="heading 1"/>
    <w:basedOn w:val="Normale"/>
    <w:next w:val="Normale"/>
    <w:link w:val="Titolo1Carattere"/>
    <w:uiPriority w:val="99"/>
    <w:semiHidden/>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77CB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77CB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77CB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77CB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E77CB3"/>
    <w:rPr>
      <w:i/>
      <w:iCs/>
      <w:smallCaps/>
      <w:spacing w:val="5"/>
    </w:rPr>
  </w:style>
  <w:style w:type="paragraph" w:customStyle="1" w:styleId="ECHRHeader">
    <w:name w:val="ECHR_Header"/>
    <w:aliases w:val="Ju_Header"/>
    <w:basedOn w:val="Intestazione"/>
    <w:uiPriority w:val="4"/>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uiPriority w:val="46"/>
    <w:qFormat/>
    <w:rsid w:val="00C63990"/>
    <w:pPr>
      <w:ind w:firstLine="284"/>
    </w:pPr>
  </w:style>
  <w:style w:type="character" w:styleId="Enfasigrassetto">
    <w:name w:val="Strong"/>
    <w:uiPriority w:val="99"/>
    <w:semiHidden/>
    <w:qFormat/>
    <w:rsid w:val="00E77CB3"/>
    <w:rPr>
      <w:b/>
      <w:bCs/>
    </w:rPr>
  </w:style>
  <w:style w:type="paragraph" w:styleId="Nessunaspaziatura">
    <w:name w:val="No Spacing"/>
    <w:basedOn w:val="Normale"/>
    <w:link w:val="NessunaspaziaturaCarattere"/>
    <w:semiHidden/>
    <w:qFormat/>
    <w:rsid w:val="00E77CB3"/>
    <w:rPr>
      <w:sz w:val="22"/>
    </w:rPr>
  </w:style>
  <w:style w:type="character" w:customStyle="1" w:styleId="NessunaspaziaturaCarattere">
    <w:name w:val="Nessuna spaziatura Carattere"/>
    <w:basedOn w:val="Carpredefinitoparagrafo"/>
    <w:link w:val="Nessunaspaziatura"/>
    <w:semiHidden/>
    <w:rsid w:val="00E77CB3"/>
    <w:rPr>
      <w:rFonts w:eastAsiaTheme="minorEastAsia"/>
    </w:rPr>
  </w:style>
  <w:style w:type="paragraph" w:customStyle="1" w:styleId="JuParaSub">
    <w:name w:val="Ju_Para_Sub"/>
    <w:basedOn w:val="Normale"/>
    <w:uiPriority w:val="13"/>
    <w:qFormat/>
    <w:rsid w:val="00C63990"/>
    <w:pPr>
      <w:ind w:left="284" w:firstLine="284"/>
    </w:pPr>
  </w:style>
  <w:style w:type="paragraph" w:customStyle="1" w:styleId="OpiParaSub">
    <w:name w:val="Opi_Para_Sub"/>
    <w:basedOn w:val="JuParaSub"/>
    <w:uiPriority w:val="47"/>
    <w:qFormat/>
    <w:rsid w:val="00E77CB3"/>
  </w:style>
  <w:style w:type="paragraph" w:customStyle="1" w:styleId="OpiQuot">
    <w:name w:val="Opi_Quot"/>
    <w:basedOn w:val="ECHRParaQuote"/>
    <w:uiPriority w:val="48"/>
    <w:qFormat/>
    <w:rsid w:val="00E77CB3"/>
  </w:style>
  <w:style w:type="paragraph" w:customStyle="1" w:styleId="OpiQuotSub">
    <w:name w:val="Opi_Quot_Sub"/>
    <w:basedOn w:val="JuQuotSub"/>
    <w:uiPriority w:val="49"/>
    <w:qFormat/>
    <w:rsid w:val="00E77CB3"/>
  </w:style>
  <w:style w:type="paragraph" w:customStyle="1" w:styleId="ECHRTitleCentre3">
    <w:name w:val="ECHR_Title_Centre_3"/>
    <w:aliases w:val="Ju_H_Article"/>
    <w:basedOn w:val="Normale"/>
    <w:next w:val="ECHRParaQuote"/>
    <w:uiPriority w:val="27"/>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77CB3"/>
    <w:pPr>
      <w:ind w:left="567"/>
    </w:pPr>
  </w:style>
  <w:style w:type="paragraph" w:customStyle="1" w:styleId="JuInitialled">
    <w:name w:val="Ju_Initialled"/>
    <w:basedOn w:val="Normale"/>
    <w:uiPriority w:val="31"/>
    <w:qFormat/>
    <w:rsid w:val="00E77CB3"/>
    <w:pPr>
      <w:tabs>
        <w:tab w:val="center" w:pos="6407"/>
      </w:tabs>
      <w:spacing w:before="720"/>
      <w:jc w:val="right"/>
    </w:pPr>
  </w:style>
  <w:style w:type="paragraph" w:customStyle="1" w:styleId="OpiHA">
    <w:name w:val="Opi_H_A"/>
    <w:basedOn w:val="Normale"/>
    <w:next w:val="OpiPara"/>
    <w:uiPriority w:val="41"/>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e"/>
    <w:next w:val="OpiPara"/>
    <w:uiPriority w:val="40"/>
    <w:qFormat/>
    <w:rsid w:val="00E77CB3"/>
    <w:pPr>
      <w:jc w:val="center"/>
      <w:outlineLvl w:val="0"/>
    </w:pPr>
    <w:rPr>
      <w:i/>
    </w:rPr>
  </w:style>
  <w:style w:type="paragraph" w:styleId="Titolo">
    <w:name w:val="Title"/>
    <w:basedOn w:val="Normale"/>
    <w:next w:val="Normale"/>
    <w:link w:val="TitoloCarattere"/>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uiPriority w:val="22"/>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uiPriority w:val="23"/>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uiPriority w:val="24"/>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uiPriority w:val="25"/>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uiPriority w:val="43"/>
    <w:qFormat/>
    <w:rsid w:val="00E77CB3"/>
    <w:pPr>
      <w:ind w:left="833" w:hanging="357"/>
      <w:outlineLvl w:val="3"/>
    </w:pPr>
    <w:rPr>
      <w:b/>
      <w:i w:val="0"/>
      <w:sz w:val="20"/>
    </w:rPr>
  </w:style>
  <w:style w:type="paragraph" w:customStyle="1" w:styleId="OpiHi">
    <w:name w:val="Opi_H_i"/>
    <w:basedOn w:val="ECHRHeading4"/>
    <w:uiPriority w:val="44"/>
    <w:qFormat/>
    <w:rsid w:val="00E77CB3"/>
    <w:pPr>
      <w:ind w:left="1037" w:hanging="357"/>
      <w:outlineLvl w:val="4"/>
    </w:pPr>
    <w:rPr>
      <w:b w:val="0"/>
      <w:i/>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Titolo2"/>
    <w:next w:val="Normale"/>
    <w:uiPriority w:val="20"/>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E77CB3"/>
    <w:rPr>
      <w:color w:val="00B050"/>
    </w:rPr>
  </w:style>
  <w:style w:type="paragraph" w:customStyle="1" w:styleId="ECHRDecisionBody">
    <w:name w:val="ECHR_Decision_Body"/>
    <w:aliases w:val="Ju_Judges"/>
    <w:basedOn w:val="Normale"/>
    <w:uiPriority w:val="11"/>
    <w:qFormat/>
    <w:rsid w:val="00C63990"/>
    <w:pPr>
      <w:tabs>
        <w:tab w:val="left" w:pos="567"/>
        <w:tab w:val="left" w:pos="1134"/>
      </w:tabs>
      <w:jc w:val="left"/>
    </w:p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Para,Left,First line:  0 cm,First line:  0 cm + Première ligne : 0,66 cm,Interligne : Double"/>
    <w:basedOn w:val="Normale"/>
    <w:link w:val="ECHRParaChar"/>
    <w:uiPriority w:val="12"/>
    <w:qFormat/>
    <w:rsid w:val="00C63990"/>
    <w:pPr>
      <w:ind w:firstLine="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E77CB3"/>
    <w:rPr>
      <w:rFonts w:asciiTheme="majorHAnsi" w:eastAsiaTheme="majorEastAsia" w:hAnsiTheme="majorHAnsi" w:cstheme="majorBidi"/>
      <w:b/>
      <w:bCs/>
      <w:color w:val="808080"/>
    </w:rPr>
  </w:style>
  <w:style w:type="character" w:styleId="Enfasidelicata">
    <w:name w:val="Subtle Emphasis"/>
    <w:uiPriority w:val="99"/>
    <w:semiHidden/>
    <w:qFormat/>
    <w:rsid w:val="00E77CB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Normale"/>
    <w:uiPriority w:val="18"/>
    <w:qFormat/>
    <w:rsid w:val="00E77CB3"/>
    <w:pPr>
      <w:keepNext/>
      <w:keepLines/>
      <w:spacing w:before="720" w:after="240"/>
      <w:outlineLvl w:val="0"/>
    </w:pPr>
    <w:rPr>
      <w:rFonts w:asciiTheme="majorHAnsi" w:hAnsiTheme="majorHAnsi"/>
      <w:sz w:val="28"/>
    </w:rPr>
  </w:style>
  <w:style w:type="character" w:styleId="Enfasicorsivo">
    <w:name w:val="Emphasis"/>
    <w:uiPriority w:val="99"/>
    <w:semiHidden/>
    <w:qFormat/>
    <w:rsid w:val="00E77CB3"/>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77CB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7CB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7CB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E77CB3"/>
    <w:rPr>
      <w:b/>
      <w:bCs/>
    </w:rPr>
  </w:style>
  <w:style w:type="paragraph" w:styleId="Citazioneintensa">
    <w:name w:val="Intense Quote"/>
    <w:basedOn w:val="Normale"/>
    <w:next w:val="Normale"/>
    <w:link w:val="CitazioneintensaCarattere"/>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77CB3"/>
    <w:rPr>
      <w:rFonts w:eastAsiaTheme="minorEastAsia"/>
      <w:b/>
      <w:bCs/>
      <w:i/>
      <w:iCs/>
      <w:lang w:bidi="en-US"/>
    </w:rPr>
  </w:style>
  <w:style w:type="character" w:styleId="Riferimentointenso">
    <w:name w:val="Intense Reference"/>
    <w:uiPriority w:val="99"/>
    <w:semiHidden/>
    <w:qFormat/>
    <w:rsid w:val="00E77CB3"/>
    <w:rPr>
      <w:smallCaps/>
      <w:spacing w:val="5"/>
      <w:u w:val="single"/>
    </w:rPr>
  </w:style>
  <w:style w:type="paragraph" w:styleId="Paragrafoelenco">
    <w:name w:val="List Paragraph"/>
    <w:basedOn w:val="Normale"/>
    <w:uiPriority w:val="99"/>
    <w:semiHidden/>
    <w:qFormat/>
    <w:rsid w:val="00E77CB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7CB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77CB3"/>
    <w:rPr>
      <w:rFonts w:eastAsiaTheme="minorEastAsia"/>
      <w:i/>
      <w:iCs/>
      <w:lang w:bidi="en-US"/>
    </w:rPr>
  </w:style>
  <w:style w:type="character" w:styleId="Riferimentodelicato">
    <w:name w:val="Subtle Reference"/>
    <w:uiPriority w:val="99"/>
    <w:semiHidden/>
    <w:qFormat/>
    <w:rsid w:val="00E77CB3"/>
    <w:rPr>
      <w:smallCaps/>
    </w:rPr>
  </w:style>
  <w:style w:type="table" w:styleId="Grigliatabella">
    <w:name w:val="Table Grid"/>
    <w:basedOn w:val="Tabellanormale"/>
    <w:uiPriority w:val="9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E77CB3"/>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qFormat/>
    <w:rsid w:val="00E77CB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77CB3"/>
    <w:pPr>
      <w:tabs>
        <w:tab w:val="center" w:pos="851"/>
        <w:tab w:val="center" w:pos="6407"/>
      </w:tabs>
      <w:spacing w:before="720"/>
      <w:jc w:val="left"/>
    </w:pPr>
  </w:style>
  <w:style w:type="paragraph" w:customStyle="1" w:styleId="JuParaLast">
    <w:name w:val="Ju_Para_Last"/>
    <w:basedOn w:val="Normale"/>
    <w:next w:val="Normale"/>
    <w:uiPriority w:val="30"/>
    <w:qFormat/>
    <w:rsid w:val="00E77CB3"/>
    <w:pPr>
      <w:keepNext/>
      <w:keepLines/>
      <w:spacing w:before="240"/>
      <w:ind w:firstLine="284"/>
    </w:pPr>
  </w:style>
  <w:style w:type="paragraph" w:customStyle="1" w:styleId="JuCase">
    <w:name w:val="Ju_Case"/>
    <w:basedOn w:val="Normale"/>
    <w:next w:val="Normale"/>
    <w:uiPriority w:val="10"/>
    <w:rsid w:val="00E77CB3"/>
    <w:pPr>
      <w:ind w:firstLine="284"/>
    </w:pPr>
    <w:rPr>
      <w:b/>
    </w:rPr>
  </w:style>
  <w:style w:type="paragraph" w:customStyle="1" w:styleId="JuList">
    <w:name w:val="Ju_List"/>
    <w:basedOn w:val="Normale"/>
    <w:uiPriority w:val="28"/>
    <w:qFormat/>
    <w:rsid w:val="00E77CB3"/>
    <w:pPr>
      <w:ind w:left="340" w:hanging="340"/>
    </w:pPr>
  </w:style>
  <w:style w:type="paragraph" w:customStyle="1" w:styleId="JuCourt">
    <w:name w:val="Ju_Court"/>
    <w:basedOn w:val="Normale"/>
    <w:next w:val="Normale"/>
    <w:uiPriority w:val="16"/>
    <w:qFormat/>
    <w:rsid w:val="00E77CB3"/>
    <w:pPr>
      <w:tabs>
        <w:tab w:val="left" w:pos="907"/>
        <w:tab w:val="left" w:pos="1701"/>
        <w:tab w:val="right" w:pos="7371"/>
      </w:tabs>
      <w:spacing w:before="240"/>
      <w:ind w:left="397" w:hanging="397"/>
      <w:jc w:val="left"/>
    </w:pPr>
    <w:rPr>
      <w:lang w:bidi="en-U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77CB3"/>
    <w:pPr>
      <w:ind w:left="346" w:firstLine="0"/>
    </w:pPr>
  </w:style>
  <w:style w:type="paragraph" w:customStyle="1" w:styleId="JuListi">
    <w:name w:val="Ju_List_i"/>
    <w:basedOn w:val="Normale"/>
    <w:next w:val="JuLista"/>
    <w:uiPriority w:val="28"/>
    <w:qFormat/>
    <w:rsid w:val="00E77CB3"/>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E77CB3"/>
    <w:rPr>
      <w:vanish/>
      <w:color w:val="339966"/>
      <w:sz w:val="14"/>
    </w:rPr>
  </w:style>
  <w:style w:type="paragraph" w:styleId="Sottotitolo">
    <w:name w:val="Subtitle"/>
    <w:basedOn w:val="Normale"/>
    <w:next w:val="Normale"/>
    <w:link w:val="SottotitoloCarattere"/>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ECHRParaChar">
    <w:name w:val="ECHR_Para Char"/>
    <w:aliases w:val="Para Char"/>
    <w:basedOn w:val="NessunaspaziaturaCarattere"/>
    <w:link w:val="ECHRPara"/>
    <w:uiPriority w:val="12"/>
    <w:rsid w:val="001E453B"/>
    <w:rPr>
      <w:rFonts w:eastAsiaTheme="minorEastAsia"/>
      <w:sz w:val="24"/>
    </w:rPr>
  </w:style>
  <w:style w:type="character" w:customStyle="1" w:styleId="ju-005fpara--char">
    <w:name w:val="ju-005fpara--char"/>
    <w:basedOn w:val="Carpredefinitoparagrafo"/>
    <w:rsid w:val="001E453B"/>
  </w:style>
  <w:style w:type="character" w:customStyle="1" w:styleId="sb8d990e2">
    <w:name w:val="sb8d990e2"/>
    <w:basedOn w:val="Carpredefinitoparagrafo"/>
    <w:rsid w:val="00630205"/>
  </w:style>
  <w:style w:type="character" w:customStyle="1" w:styleId="sea881cdf">
    <w:name w:val="sea881cdf"/>
    <w:basedOn w:val="Carpredefinitoparagrafo"/>
    <w:rsid w:val="00630205"/>
  </w:style>
  <w:style w:type="character" w:customStyle="1" w:styleId="JuParaChar">
    <w:name w:val="Ju_Para Char"/>
    <w:basedOn w:val="Carpredefinitoparagrafo"/>
    <w:rsid w:val="00F66B50"/>
    <w:rPr>
      <w:rFonts w:eastAsiaTheme="minorEastAsia"/>
      <w:sz w:val="24"/>
    </w:rPr>
  </w:style>
  <w:style w:type="character" w:customStyle="1" w:styleId="s6b621b36">
    <w:name w:val="s6b621b36"/>
    <w:basedOn w:val="Carpredefinitoparagrafo"/>
    <w:rsid w:val="00F66B50"/>
  </w:style>
  <w:style w:type="character" w:customStyle="1" w:styleId="s7d2086b4">
    <w:name w:val="s7d2086b4"/>
    <w:basedOn w:val="Carpredefinitoparagrafo"/>
    <w:rsid w:val="00F66B50"/>
  </w:style>
  <w:style w:type="character" w:customStyle="1" w:styleId="JuParaCar">
    <w:name w:val="Ju_Para Car"/>
    <w:uiPriority w:val="12"/>
    <w:rsid w:val="00F66B50"/>
    <w:rPr>
      <w:rFonts w:eastAsiaTheme="minorEastAsia"/>
      <w:sz w:val="24"/>
    </w:rPr>
  </w:style>
  <w:style w:type="paragraph" w:customStyle="1" w:styleId="s70227c73">
    <w:name w:val="s70227c73"/>
    <w:basedOn w:val="Normale"/>
    <w:rsid w:val="00F66B50"/>
    <w:pPr>
      <w:spacing w:before="100" w:beforeAutospacing="1" w:after="100" w:afterAutospacing="1"/>
      <w:jc w:val="left"/>
    </w:pPr>
    <w:rPr>
      <w:rFonts w:ascii="Times New Roman" w:eastAsia="Times New Roman" w:hAnsi="Times New Roman" w:cs="Times New Roman"/>
      <w:szCs w:val="24"/>
    </w:rPr>
  </w:style>
  <w:style w:type="paragraph" w:customStyle="1" w:styleId="se5d6d4c3">
    <w:name w:val="se5d6d4c3"/>
    <w:basedOn w:val="Normale"/>
    <w:rsid w:val="00F66B50"/>
    <w:pPr>
      <w:spacing w:before="100" w:beforeAutospacing="1" w:after="100" w:afterAutospacing="1"/>
      <w:jc w:val="left"/>
    </w:pPr>
    <w:rPr>
      <w:rFonts w:ascii="Times New Roman" w:eastAsia="Times New Roman" w:hAnsi="Times New Roman" w:cs="Times New Roman"/>
      <w:szCs w:val="24"/>
    </w:rPr>
  </w:style>
  <w:style w:type="character" w:customStyle="1" w:styleId="sdfc50a6a">
    <w:name w:val="sdfc50a6a"/>
    <w:basedOn w:val="Carpredefinitoparagrafo"/>
    <w:rsid w:val="00F66B50"/>
  </w:style>
  <w:style w:type="character" w:customStyle="1" w:styleId="s50cfe236">
    <w:name w:val="s50cfe236"/>
    <w:basedOn w:val="Carpredefinitoparagrafo"/>
    <w:rsid w:val="00F66B50"/>
  </w:style>
  <w:style w:type="paragraph" w:customStyle="1" w:styleId="s30eec3f8">
    <w:name w:val="s30eec3f8"/>
    <w:basedOn w:val="Normale"/>
    <w:rsid w:val="00F66B50"/>
    <w:pPr>
      <w:spacing w:before="100" w:beforeAutospacing="1" w:after="100" w:afterAutospacing="1"/>
      <w:jc w:val="left"/>
    </w:pPr>
    <w:rPr>
      <w:rFonts w:ascii="Times New Roman" w:eastAsia="Times New Roman" w:hAnsi="Times New Roman" w:cs="Times New Roman"/>
      <w:szCs w:val="24"/>
    </w:rPr>
  </w:style>
  <w:style w:type="character" w:customStyle="1" w:styleId="wordhighlighted">
    <w:name w:val="wordhighlighted"/>
    <w:basedOn w:val="Carpredefinitoparagrafo"/>
    <w:rsid w:val="00F66B50"/>
  </w:style>
  <w:style w:type="paragraph" w:customStyle="1" w:styleId="sc5b19718">
    <w:name w:val="sc5b19718"/>
    <w:basedOn w:val="Normale"/>
    <w:rsid w:val="00F66B50"/>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Carpredefinitoparagrafo"/>
    <w:rsid w:val="00F66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08551213">
      <w:bodyDiv w:val="1"/>
      <w:marLeft w:val="0"/>
      <w:marRight w:val="0"/>
      <w:marTop w:val="0"/>
      <w:marBottom w:val="0"/>
      <w:divBdr>
        <w:top w:val="none" w:sz="0" w:space="0" w:color="auto"/>
        <w:left w:val="none" w:sz="0" w:space="0" w:color="auto"/>
        <w:bottom w:val="none" w:sz="0" w:space="0" w:color="auto"/>
        <w:right w:val="none" w:sz="0" w:space="0" w:color="auto"/>
      </w:divBdr>
    </w:div>
    <w:div w:id="21363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udoc.echr.coe.int/sites/eng/Pages/search.aspx" TargetMode="External"/><Relationship Id="rId26" Type="http://schemas.openxmlformats.org/officeDocument/2006/relationships/hyperlink" Target="http://hudoc.echr.coe.int/sites/eng/Pages/search.aspx" TargetMode="External"/><Relationship Id="rId3" Type="http://schemas.openxmlformats.org/officeDocument/2006/relationships/customXml" Target="../customXml/item3.xml"/><Relationship Id="rId21" Type="http://schemas.openxmlformats.org/officeDocument/2006/relationships/hyperlink" Target="http://hudoc.echr.coe.int/sites/eng/Pages/search.aspx"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sites/eng/Pages/search.aspx" TargetMode="External"/><Relationship Id="rId25" Type="http://schemas.openxmlformats.org/officeDocument/2006/relationships/hyperlink" Target="http://hudoc.echr.coe.int/sites/eng/Pages/search.aspx" TargetMode="Externa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udoc.echr.coe.int/sites/eng/Pages/search.aspx" TargetMode="Externa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sites/eng/Pages/search.aspx"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hudoc.echr.coe.int/sites/eng/Pages/search.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hudoc.echr.coe.int/sites/eng/Pages/search.aspx"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ABA1-E6C7-448E-ABFC-EC9A44A25A12}">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2F6A21BA-4F54-457B-80B6-D8F0B09A84DA}">
  <ds:schemaRefs>
    <ds:schemaRef ds:uri="http://schemas.microsoft.com/sharepoint/v3/contenttype/forms"/>
  </ds:schemaRefs>
</ds:datastoreItem>
</file>

<file path=customXml/itemProps3.xml><?xml version="1.0" encoding="utf-8"?>
<ds:datastoreItem xmlns:ds="http://schemas.openxmlformats.org/officeDocument/2006/customXml" ds:itemID="{74E64315-E007-440F-8D3E-065004E9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2CCECC-7842-420C-B548-1C080CD0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7031</Words>
  <Characters>40078</Characters>
  <Application>Microsoft Office Word</Application>
  <DocSecurity>4</DocSecurity>
  <Lines>333</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DF2.1a PA examen conjoint</vt:lpstr>
    </vt:vector>
  </TitlesOfParts>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2015-04-02T07:49:00Z</cp:lastPrinted>
  <dcterms:created xsi:type="dcterms:W3CDTF">2015-04-17T10:02:00Z</dcterms:created>
  <dcterms:modified xsi:type="dcterms:W3CDTF">2015-04-17T10:02:00Z</dcterms:modified>
  <cp:category>ECHR Template</cp:category>
</cp:coreProperties>
</file>